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526ED6" w14:textId="46BF0435"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w:t>
      </w:r>
      <w:r w:rsidR="00C904B5">
        <w:rPr>
          <w:rFonts w:ascii="Times New Roman" w:hAnsi="Times New Roman"/>
          <w:sz w:val="24"/>
        </w:rPr>
        <w:t>1</w:t>
      </w:r>
      <w:r>
        <w:rPr>
          <w:rFonts w:ascii="Times New Roman" w:hAnsi="Times New Roman"/>
          <w:sz w:val="24"/>
        </w:rPr>
        <w:tab/>
      </w:r>
      <w:r w:rsidR="007A68E8">
        <w:rPr>
          <w:rFonts w:ascii="Times New Roman" w:hAnsi="Times New Roman"/>
          <w:sz w:val="24"/>
        </w:rPr>
        <w:tab/>
      </w:r>
      <w:bookmarkStart w:id="0" w:name="_GoBack"/>
      <w:bookmarkEnd w:id="0"/>
      <w:r>
        <w:rPr>
          <w:rFonts w:ascii="Times New Roman" w:hAnsi="Times New Roman"/>
          <w:sz w:val="24"/>
        </w:rPr>
        <w:t>R4-1</w:t>
      </w:r>
      <w:r w:rsidR="00FF2244">
        <w:rPr>
          <w:rFonts w:ascii="Times New Roman" w:hAnsi="Times New Roman"/>
          <w:sz w:val="24"/>
        </w:rPr>
        <w:t>9</w:t>
      </w:r>
      <w:r w:rsidR="007A68E8">
        <w:rPr>
          <w:rFonts w:ascii="Times New Roman" w:hAnsi="Times New Roman"/>
          <w:sz w:val="24"/>
        </w:rPr>
        <w:t>06456</w:t>
      </w:r>
    </w:p>
    <w:p w14:paraId="7072CC4D" w14:textId="77777777" w:rsidR="005813AA" w:rsidRPr="00552689" w:rsidRDefault="00C904B5" w:rsidP="005813AA">
      <w:pPr>
        <w:pStyle w:val="Header"/>
        <w:rPr>
          <w:rFonts w:ascii="Times New Roman" w:hAnsi="Times New Roman"/>
          <w:sz w:val="24"/>
          <w:lang w:val="en-US"/>
        </w:rPr>
      </w:pPr>
      <w:r>
        <w:rPr>
          <w:rFonts w:ascii="Times New Roman" w:hAnsi="Times New Roman"/>
          <w:sz w:val="24"/>
          <w:lang w:val="en-US"/>
        </w:rPr>
        <w:t>Reno</w:t>
      </w:r>
      <w:r w:rsidR="005813AA">
        <w:rPr>
          <w:rFonts w:ascii="Times New Roman" w:hAnsi="Times New Roman"/>
          <w:sz w:val="24"/>
          <w:lang w:val="en-US"/>
        </w:rPr>
        <w:t xml:space="preserve">, </w:t>
      </w:r>
      <w:r>
        <w:rPr>
          <w:rFonts w:ascii="Times New Roman" w:hAnsi="Times New Roman"/>
          <w:sz w:val="24"/>
          <w:lang w:val="en-US"/>
        </w:rPr>
        <w:t>United States of America</w:t>
      </w:r>
      <w:r w:rsidR="005813AA">
        <w:rPr>
          <w:rFonts w:ascii="Times New Roman" w:hAnsi="Times New Roman"/>
          <w:sz w:val="24"/>
          <w:lang w:val="en-US"/>
        </w:rPr>
        <w:t xml:space="preserve">, </w:t>
      </w:r>
      <w:r>
        <w:rPr>
          <w:rFonts w:ascii="Times New Roman" w:hAnsi="Times New Roman"/>
          <w:sz w:val="24"/>
          <w:lang w:val="en-US"/>
        </w:rPr>
        <w:t xml:space="preserve">13 </w:t>
      </w:r>
      <w:r w:rsidR="002B1082">
        <w:rPr>
          <w:rFonts w:ascii="Times New Roman" w:hAnsi="Times New Roman"/>
          <w:sz w:val="24"/>
          <w:lang w:val="en-US"/>
        </w:rPr>
        <w:t>-</w:t>
      </w:r>
      <w:r w:rsidR="00651443">
        <w:rPr>
          <w:rFonts w:ascii="Times New Roman" w:hAnsi="Times New Roman"/>
          <w:sz w:val="24"/>
          <w:lang w:val="en-US"/>
        </w:rPr>
        <w:t xml:space="preserve"> </w:t>
      </w:r>
      <w:r w:rsidR="002B1082">
        <w:rPr>
          <w:rFonts w:ascii="Times New Roman" w:hAnsi="Times New Roman"/>
          <w:sz w:val="24"/>
          <w:lang w:val="en-US"/>
        </w:rPr>
        <w:t>1</w:t>
      </w:r>
      <w:r>
        <w:rPr>
          <w:rFonts w:ascii="Times New Roman" w:hAnsi="Times New Roman"/>
          <w:sz w:val="24"/>
          <w:lang w:val="en-US"/>
        </w:rPr>
        <w:t>7</w:t>
      </w:r>
      <w:r w:rsidR="002B1082">
        <w:rPr>
          <w:rFonts w:ascii="Times New Roman" w:hAnsi="Times New Roman"/>
          <w:sz w:val="24"/>
          <w:lang w:val="en-US"/>
        </w:rPr>
        <w:t xml:space="preserve"> </w:t>
      </w:r>
      <w:r>
        <w:rPr>
          <w:rFonts w:ascii="Times New Roman" w:hAnsi="Times New Roman"/>
          <w:sz w:val="24"/>
          <w:lang w:val="en-US"/>
        </w:rPr>
        <w:t>May</w:t>
      </w:r>
      <w:r w:rsidR="0032455B">
        <w:rPr>
          <w:rFonts w:ascii="Times New Roman" w:hAnsi="Times New Roman"/>
          <w:sz w:val="24"/>
          <w:lang w:val="en-US"/>
        </w:rPr>
        <w:t>, 2019</w:t>
      </w:r>
    </w:p>
    <w:p w14:paraId="7F148787" w14:textId="77777777" w:rsidR="005813AA" w:rsidRPr="007535E3" w:rsidRDefault="005813AA" w:rsidP="005813AA">
      <w:pPr>
        <w:pStyle w:val="Footer"/>
        <w:jc w:val="both"/>
        <w:rPr>
          <w:noProof w:val="0"/>
        </w:rPr>
      </w:pPr>
    </w:p>
    <w:p w14:paraId="51A03310" w14:textId="77777777" w:rsidR="00672856" w:rsidRDefault="005813AA" w:rsidP="00672856">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84532A" w:rsidRPr="0084532A">
        <w:rPr>
          <w:rFonts w:ascii="Arial" w:hAnsi="Arial" w:cs="Arial"/>
          <w:sz w:val="24"/>
          <w:lang w:val="en-US" w:eastAsia="zh-CN"/>
        </w:rPr>
        <w:t>Non-zero</w:t>
      </w:r>
      <w:r w:rsidR="0084532A">
        <w:rPr>
          <w:rFonts w:ascii="Arial" w:hAnsi="Arial" w:cs="Arial"/>
          <w:sz w:val="24"/>
          <w:lang w:val="en-US" w:eastAsia="zh-CN"/>
        </w:rPr>
        <w:t>/non equal</w:t>
      </w:r>
      <w:r w:rsidR="0084532A" w:rsidRPr="0084532A">
        <w:rPr>
          <w:rFonts w:ascii="Arial" w:hAnsi="Arial" w:cs="Arial"/>
          <w:sz w:val="24"/>
          <w:lang w:val="en-US" w:eastAsia="zh-CN"/>
        </w:rPr>
        <w:t xml:space="preserve"> TA for RACH-less HO</w:t>
      </w:r>
      <w:r w:rsidR="0084532A">
        <w:rPr>
          <w:rFonts w:ascii="Arial" w:hAnsi="Arial" w:cs="Arial"/>
          <w:sz w:val="24"/>
          <w:lang w:val="en-US" w:eastAsia="zh-CN"/>
        </w:rPr>
        <w:t xml:space="preserve"> for NR mobility enhancement</w:t>
      </w:r>
    </w:p>
    <w:p w14:paraId="09D3D1BF" w14:textId="77777777"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14:paraId="1E223334" w14:textId="5F216C94"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FA5E98">
        <w:rPr>
          <w:rFonts w:ascii="Arial" w:hAnsi="Arial" w:cs="Arial"/>
          <w:sz w:val="24"/>
          <w:lang w:val="en-US" w:eastAsia="zh-CN"/>
        </w:rPr>
        <w:t>8.3.2</w:t>
      </w:r>
    </w:p>
    <w:p w14:paraId="211308D1" w14:textId="77777777"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887A92">
        <w:rPr>
          <w:rFonts w:ascii="Arial" w:hAnsi="Arial" w:cs="Arial"/>
          <w:sz w:val="24"/>
          <w:lang w:val="en-US" w:eastAsia="zh-CN"/>
        </w:rPr>
        <w:t>Approval</w:t>
      </w:r>
    </w:p>
    <w:p w14:paraId="7245F2DE" w14:textId="77777777" w:rsidR="00E948E9" w:rsidRDefault="005813AA" w:rsidP="002E5998">
      <w:pPr>
        <w:pStyle w:val="Heading1"/>
      </w:pPr>
      <w:r w:rsidRPr="00DA6BF8">
        <w:t>Introduction</w:t>
      </w:r>
    </w:p>
    <w:p w14:paraId="008330A7" w14:textId="02F3B8EE" w:rsidR="00672856" w:rsidRPr="00672856" w:rsidRDefault="0084532A" w:rsidP="00672856">
      <w:r>
        <w:t>In LTE release 14, enhanced handover requirements were defined for RACHless handover under the assumption that timing advance of the source and target cells was zero, or at least equal</w:t>
      </w:r>
      <w:r w:rsidR="00610C77">
        <w:t>. T</w:t>
      </w:r>
      <w:r>
        <w:t>he UE will not attempt to compensate for time difference between source and target cell, and hence would transmit with unsuitable uplink timing in case the source and target cell TA is not equal.</w:t>
      </w:r>
      <w:r w:rsidR="005E4FFA">
        <w:t xml:space="preserve"> The consequence is that the LTE eNB should use RACHless handover only when it has knowledge prior to the handover that the procedure should result in proper uplink timing (</w:t>
      </w:r>
      <w:r w:rsidR="00581BBE">
        <w:t>e.g.</w:t>
      </w:r>
      <w:r w:rsidR="005E4FFA">
        <w:t xml:space="preserve"> from deployment knowledge).</w:t>
      </w:r>
    </w:p>
    <w:p w14:paraId="43EE2FD7" w14:textId="77777777" w:rsidR="0084532A" w:rsidRPr="0084532A" w:rsidRDefault="005813AA" w:rsidP="0084532A">
      <w:pPr>
        <w:pStyle w:val="Heading1"/>
        <w:jc w:val="both"/>
        <w:rPr>
          <w:rFonts w:eastAsia="SimSun"/>
          <w:lang w:val="en-US" w:eastAsia="zh-CN"/>
        </w:rPr>
      </w:pPr>
      <w:r>
        <w:rPr>
          <w:rFonts w:eastAsia="SimSun"/>
          <w:lang w:val="en-US" w:eastAsia="zh-CN"/>
        </w:rPr>
        <w:t>Discussion</w:t>
      </w:r>
    </w:p>
    <w:p w14:paraId="23AE154A" w14:textId="77777777" w:rsidR="00672856" w:rsidRDefault="0084532A" w:rsidP="00672856">
      <w:pPr>
        <w:pStyle w:val="Heading2"/>
        <w:rPr>
          <w:lang w:val="en-US" w:eastAsia="zh-CN"/>
        </w:rPr>
      </w:pPr>
      <w:r>
        <w:rPr>
          <w:lang w:val="en-US" w:eastAsia="zh-CN"/>
        </w:rPr>
        <w:t>Background</w:t>
      </w:r>
      <w:r w:rsidR="00367330">
        <w:rPr>
          <w:lang w:val="en-US" w:eastAsia="zh-CN"/>
        </w:rPr>
        <w:t xml:space="preserve"> in LTE</w:t>
      </w:r>
    </w:p>
    <w:p w14:paraId="68737014" w14:textId="4B76E709" w:rsidR="0084532A" w:rsidRDefault="0084532A" w:rsidP="0084532A">
      <w:pPr>
        <w:rPr>
          <w:lang w:val="en-US" w:eastAsia="zh-CN"/>
        </w:rPr>
      </w:pPr>
      <w:r>
        <w:rPr>
          <w:lang w:val="en-US" w:eastAsia="zh-CN"/>
        </w:rPr>
        <w:t xml:space="preserve">In LTE mobility enhancements, UE calculated TA schemes were discussed, and liaison statement  </w:t>
      </w:r>
      <w:r w:rsidR="0069468D">
        <w:rPr>
          <w:lang w:val="en-US" w:eastAsia="zh-CN"/>
        </w:rPr>
        <w:t xml:space="preserve">exchange </w:t>
      </w:r>
      <w:r>
        <w:rPr>
          <w:lang w:val="en-US" w:eastAsia="zh-CN"/>
        </w:rPr>
        <w:t xml:space="preserve">took place between RAN2 and RAN4. The decision not to support calculated TA was based on the response from RAN4 in </w:t>
      </w:r>
      <w:r>
        <w:rPr>
          <w:lang w:val="en-US" w:eastAsia="zh-CN"/>
        </w:rPr>
        <w:fldChar w:fldCharType="begin"/>
      </w:r>
      <w:r>
        <w:rPr>
          <w:lang w:val="en-US" w:eastAsia="zh-CN"/>
        </w:rPr>
        <w:instrText xml:space="preserve"> REF _Ref6907067 \r \h </w:instrText>
      </w:r>
      <w:r>
        <w:rPr>
          <w:lang w:val="en-US" w:eastAsia="zh-CN"/>
        </w:rPr>
      </w:r>
      <w:r>
        <w:rPr>
          <w:lang w:val="en-US" w:eastAsia="zh-CN"/>
        </w:rPr>
        <w:fldChar w:fldCharType="separate"/>
      </w:r>
      <w:r>
        <w:rPr>
          <w:lang w:val="en-US" w:eastAsia="zh-CN"/>
        </w:rPr>
        <w:t>[1]</w:t>
      </w:r>
      <w:r>
        <w:rPr>
          <w:lang w:val="en-US" w:eastAsia="zh-CN"/>
        </w:rPr>
        <w:fldChar w:fldCharType="end"/>
      </w:r>
    </w:p>
    <w:tbl>
      <w:tblPr>
        <w:tblStyle w:val="TableGrid"/>
        <w:tblW w:w="0" w:type="auto"/>
        <w:tblLook w:val="04A0" w:firstRow="1" w:lastRow="0" w:firstColumn="1" w:lastColumn="0" w:noHBand="0" w:noVBand="1"/>
      </w:tblPr>
      <w:tblGrid>
        <w:gridCol w:w="10537"/>
      </w:tblGrid>
      <w:tr w:rsidR="0084532A" w14:paraId="78C06047" w14:textId="77777777" w:rsidTr="0084532A">
        <w:tc>
          <w:tcPr>
            <w:tcW w:w="10763" w:type="dxa"/>
          </w:tcPr>
          <w:p w14:paraId="2F9F91F3" w14:textId="77777777" w:rsidR="0084532A" w:rsidRPr="00877A41" w:rsidRDefault="0084532A" w:rsidP="0084532A">
            <w:pPr>
              <w:pStyle w:val="BodyText"/>
              <w:rPr>
                <w:color w:val="1F497D"/>
              </w:rPr>
            </w:pPr>
            <w:r w:rsidRPr="00877A41">
              <w:rPr>
                <w:color w:val="1F497D"/>
              </w:rPr>
              <w:t xml:space="preserve">Questions related to the </w:t>
            </w:r>
            <w:r w:rsidRPr="00877A41">
              <w:rPr>
                <w:rFonts w:hint="eastAsia"/>
                <w:color w:val="1F497D"/>
              </w:rPr>
              <w:t>RACH-less solution</w:t>
            </w:r>
            <w:r w:rsidRPr="00877A41">
              <w:rPr>
                <w:color w:val="1F497D"/>
              </w:rPr>
              <w:t xml:space="preserve">(s) </w:t>
            </w:r>
            <w:r w:rsidRPr="00877A41">
              <w:rPr>
                <w:color w:val="1F497D"/>
                <w:lang w:eastAsia="zh-CN"/>
              </w:rPr>
              <w:t>as described in the attachment</w:t>
            </w:r>
            <w:r w:rsidRPr="00877A41">
              <w:rPr>
                <w:color w:val="1F497D"/>
              </w:rPr>
              <w:t>:</w:t>
            </w:r>
          </w:p>
          <w:p w14:paraId="17AED339" w14:textId="77777777" w:rsidR="0084532A" w:rsidRPr="00877A41" w:rsidRDefault="0084532A" w:rsidP="0084532A">
            <w:pPr>
              <w:pStyle w:val="BodyText"/>
              <w:rPr>
                <w:color w:val="1F497D"/>
                <w:lang w:val="en-US" w:eastAsia="zh-CN"/>
              </w:rPr>
            </w:pPr>
            <w:r w:rsidRPr="00877A41">
              <w:rPr>
                <w:rFonts w:hint="eastAsia"/>
                <w:color w:val="1F497D"/>
                <w:lang w:eastAsia="zh-CN"/>
              </w:rPr>
              <w:t xml:space="preserve">Q1: </w:t>
            </w:r>
            <w:r w:rsidRPr="00877A41">
              <w:rPr>
                <w:color w:val="1F497D"/>
                <w:lang w:eastAsia="zh-CN"/>
              </w:rPr>
              <w:t>Would the accuracy of the TA value calculated according to the schemes in the attachment be sufficient for transmitting PUSCH/PUCCH/SRS at the target cell in either synchronous or asynchronous network?  (RAN1/RAN4)</w:t>
            </w:r>
          </w:p>
          <w:p w14:paraId="28E9F12C" w14:textId="77777777" w:rsidR="0084532A" w:rsidRPr="00877A41" w:rsidRDefault="0084532A" w:rsidP="0084532A">
            <w:pPr>
              <w:pStyle w:val="BodyText"/>
              <w:rPr>
                <w:color w:val="1F497D"/>
              </w:rPr>
            </w:pPr>
          </w:p>
          <w:p w14:paraId="31D5F90E" w14:textId="77777777" w:rsidR="0084532A" w:rsidRPr="0084532A" w:rsidRDefault="0084532A" w:rsidP="0084532A">
            <w:pPr>
              <w:pStyle w:val="BodyText"/>
              <w:rPr>
                <w:lang w:eastAsia="zh-CN"/>
              </w:rPr>
            </w:pPr>
            <w:r>
              <w:t xml:space="preserve">Reply to Q1: </w:t>
            </w:r>
            <w:r w:rsidRPr="00B54A2A">
              <w:t>The legacy accuracy</w:t>
            </w:r>
            <w:r>
              <w:rPr>
                <w:rFonts w:hint="eastAsia"/>
                <w:lang w:eastAsia="zh-CN"/>
              </w:rPr>
              <w:t xml:space="preserve"> requirements</w:t>
            </w:r>
            <w:r w:rsidRPr="00B54A2A">
              <w:t xml:space="preserve"> for uplink timing alignment</w:t>
            </w:r>
            <w:r>
              <w:rPr>
                <w:rFonts w:hint="eastAsia"/>
                <w:lang w:eastAsia="zh-CN"/>
              </w:rPr>
              <w:t>, i.e. the accuracy of TA for initial uplink transmission,</w:t>
            </w:r>
            <w:r w:rsidRPr="00B54A2A">
              <w:t xml:space="preserve"> cannot be met by UE calculated TA scheme</w:t>
            </w:r>
            <w:r w:rsidRPr="009A2950">
              <w:t xml:space="preserve"> </w:t>
            </w:r>
            <w:r>
              <w:rPr>
                <w:rFonts w:hint="eastAsia"/>
                <w:lang w:eastAsia="zh-CN"/>
              </w:rPr>
              <w:t xml:space="preserve">in </w:t>
            </w:r>
            <w:r w:rsidRPr="00B54A2A">
              <w:t>either</w:t>
            </w:r>
            <w:r>
              <w:rPr>
                <w:rFonts w:hint="eastAsia"/>
                <w:lang w:eastAsia="zh-CN"/>
              </w:rPr>
              <w:t xml:space="preserve"> synchronous or asynchronous network. The TA calculation error comes from TA error of source cell, UE reception time difference, BS transmission time alignment error, and uplink/downlink imbalance.</w:t>
            </w:r>
          </w:p>
        </w:tc>
      </w:tr>
    </w:tbl>
    <w:p w14:paraId="073A8DF7" w14:textId="77777777" w:rsidR="0084532A" w:rsidRDefault="0084532A" w:rsidP="0084532A">
      <w:pPr>
        <w:rPr>
          <w:lang w:val="en-US" w:eastAsia="zh-CN"/>
        </w:rPr>
      </w:pPr>
    </w:p>
    <w:p w14:paraId="6C64EE1B" w14:textId="77777777" w:rsidR="0084532A" w:rsidRDefault="0084532A" w:rsidP="0084532A">
      <w:pPr>
        <w:rPr>
          <w:lang w:val="en-US" w:eastAsia="zh-CN"/>
        </w:rPr>
      </w:pPr>
      <w:r>
        <w:rPr>
          <w:lang w:val="en-US" w:eastAsia="zh-CN"/>
        </w:rPr>
        <w:t xml:space="preserve">Further background can be found in </w:t>
      </w:r>
      <w:r w:rsidR="008505EC">
        <w:rPr>
          <w:lang w:val="en-US" w:eastAsia="zh-CN"/>
        </w:rPr>
        <w:fldChar w:fldCharType="begin"/>
      </w:r>
      <w:r w:rsidR="008505EC">
        <w:rPr>
          <w:lang w:val="en-US" w:eastAsia="zh-CN"/>
        </w:rPr>
        <w:instrText xml:space="preserve"> REF _Ref6907262 \r \h </w:instrText>
      </w:r>
      <w:r w:rsidR="008505EC">
        <w:rPr>
          <w:lang w:val="en-US" w:eastAsia="zh-CN"/>
        </w:rPr>
      </w:r>
      <w:r w:rsidR="008505EC">
        <w:rPr>
          <w:lang w:val="en-US" w:eastAsia="zh-CN"/>
        </w:rPr>
        <w:fldChar w:fldCharType="separate"/>
      </w:r>
      <w:r w:rsidR="008505EC">
        <w:rPr>
          <w:lang w:val="en-US" w:eastAsia="zh-CN"/>
        </w:rPr>
        <w:t>[2]</w:t>
      </w:r>
      <w:r w:rsidR="008505EC">
        <w:rPr>
          <w:lang w:val="en-US" w:eastAsia="zh-CN"/>
        </w:rPr>
        <w:fldChar w:fldCharType="end"/>
      </w:r>
      <w:r w:rsidR="008505EC">
        <w:rPr>
          <w:lang w:val="en-US" w:eastAsia="zh-CN"/>
        </w:rPr>
        <w:t>. In summary, two solutions were under discussion</w:t>
      </w:r>
    </w:p>
    <w:p w14:paraId="770F768B" w14:textId="77777777" w:rsidR="008505EC" w:rsidRPr="0036481C" w:rsidRDefault="008505EC" w:rsidP="0084532A">
      <w:pPr>
        <w:rPr>
          <w:i/>
          <w:lang w:val="en-US" w:eastAsia="zh-CN"/>
        </w:rPr>
      </w:pPr>
      <w:r w:rsidRPr="0036481C">
        <w:rPr>
          <w:i/>
          <w:lang w:val="en-US" w:eastAsia="zh-CN"/>
        </w:rPr>
        <w:t xml:space="preserve">Solution 1 (for synchronous NW): </w:t>
      </w:r>
      <w:bookmarkStart w:id="1" w:name="_Hlk6912944"/>
      <w:r w:rsidRPr="0036481C">
        <w:rPr>
          <w:i/>
          <w:lang w:val="en-US" w:eastAsia="zh-CN"/>
        </w:rPr>
        <w:t xml:space="preserve">UE calculates TA according to TAtarget = TAsource– 2 *ΔT where ΔT is the observed difference in downlink timing under the assumption that uplink propagation delay and downlink propagation delay are </w:t>
      </w:r>
      <w:bookmarkEnd w:id="1"/>
      <w:r w:rsidRPr="0036481C">
        <w:rPr>
          <w:i/>
          <w:lang w:val="en-US" w:eastAsia="zh-CN"/>
        </w:rPr>
        <w:t>equal</w:t>
      </w:r>
    </w:p>
    <w:p w14:paraId="2743B2B3" w14:textId="77777777" w:rsidR="008505EC" w:rsidRPr="0036481C" w:rsidRDefault="008505EC" w:rsidP="0084532A">
      <w:pPr>
        <w:rPr>
          <w:i/>
          <w:lang w:val="en-US" w:eastAsia="zh-CN"/>
        </w:rPr>
      </w:pPr>
      <w:r w:rsidRPr="0036481C">
        <w:rPr>
          <w:i/>
          <w:lang w:val="en-US" w:eastAsia="zh-CN"/>
        </w:rPr>
        <w:t>Solution 2</w:t>
      </w:r>
      <w:r w:rsidR="0036481C">
        <w:rPr>
          <w:i/>
          <w:lang w:val="en-US" w:eastAsia="zh-CN"/>
        </w:rPr>
        <w:t>.1</w:t>
      </w:r>
      <w:r w:rsidRPr="0036481C">
        <w:rPr>
          <w:i/>
          <w:lang w:val="en-US" w:eastAsia="zh-CN"/>
        </w:rPr>
        <w:t xml:space="preserve"> (for async NW) UE calculates TA according to TAtarget = TAsource+</w:t>
      </w:r>
      <w:r w:rsidRPr="0036481C">
        <w:rPr>
          <w:rFonts w:eastAsia="SimSun"/>
          <w:i/>
          <w:lang w:eastAsia="zh-CN"/>
        </w:rPr>
        <w:t>Td – 2*</w:t>
      </w:r>
      <w:r w:rsidRPr="0036481C">
        <w:rPr>
          <w:rFonts w:ascii="SimSun" w:eastAsia="SimSun" w:hAnsi="SimSun" w:hint="eastAsia"/>
          <w:i/>
          <w:lang w:eastAsia="zh-CN"/>
        </w:rPr>
        <w:t>Δ</w:t>
      </w:r>
      <w:r w:rsidRPr="0036481C">
        <w:rPr>
          <w:rFonts w:eastAsia="SimSun"/>
          <w:i/>
          <w:lang w:eastAsia="zh-CN"/>
        </w:rPr>
        <w:t xml:space="preserve">t. </w:t>
      </w:r>
      <w:r w:rsidRPr="0036481C">
        <w:rPr>
          <w:i/>
          <w:lang w:val="en-US" w:eastAsia="zh-CN"/>
        </w:rPr>
        <w:t xml:space="preserve">where Δt is the observed difference in downlink timing and Td is the time difference </w:t>
      </w:r>
      <w:r w:rsidR="0036481C" w:rsidRPr="0036481C">
        <w:rPr>
          <w:i/>
          <w:lang w:val="en-US" w:eastAsia="zh-CN"/>
        </w:rPr>
        <w:t>between the downlink transmission time of the cells, which may be found eg by O&amp;M and provided to the UE in the handover command.</w:t>
      </w:r>
    </w:p>
    <w:p w14:paraId="6B2B4EC6" w14:textId="77777777" w:rsidR="0036481C" w:rsidRDefault="0036481C" w:rsidP="0084532A">
      <w:pPr>
        <w:rPr>
          <w:lang w:val="en-US" w:eastAsia="zh-CN"/>
        </w:rPr>
      </w:pPr>
      <w:r>
        <w:rPr>
          <w:lang w:val="en-US" w:eastAsia="zh-CN"/>
        </w:rPr>
        <w:t xml:space="preserve">Based on analysis, the worst case uplink timing error was calculated in </w:t>
      </w:r>
      <w:r>
        <w:rPr>
          <w:lang w:val="en-US" w:eastAsia="zh-CN"/>
        </w:rPr>
        <w:fldChar w:fldCharType="begin"/>
      </w:r>
      <w:r>
        <w:rPr>
          <w:lang w:val="en-US" w:eastAsia="zh-CN"/>
        </w:rPr>
        <w:instrText xml:space="preserve"> REF _Ref6907262 \r \h </w:instrText>
      </w:r>
      <w:r>
        <w:rPr>
          <w:lang w:val="en-US" w:eastAsia="zh-CN"/>
        </w:rPr>
      </w:r>
      <w:r>
        <w:rPr>
          <w:lang w:val="en-US" w:eastAsia="zh-CN"/>
        </w:rPr>
        <w:fldChar w:fldCharType="separate"/>
      </w:r>
      <w:r>
        <w:rPr>
          <w:lang w:val="en-US" w:eastAsia="zh-CN"/>
        </w:rPr>
        <w:t>[2]</w:t>
      </w:r>
      <w:r>
        <w:rPr>
          <w:lang w:val="en-US" w:eastAsia="zh-CN"/>
        </w:rPr>
        <w:fldChar w:fldCharType="end"/>
      </w:r>
      <w:r>
        <w:rPr>
          <w:lang w:val="en-US" w:eastAsia="zh-CN"/>
        </w:rPr>
        <w:t xml:space="preserve"> as</w:t>
      </w:r>
    </w:p>
    <w:p w14:paraId="7779E249" w14:textId="77777777" w:rsidR="0036481C" w:rsidRPr="0036481C" w:rsidRDefault="0036481C" w:rsidP="0036481C">
      <w:pPr>
        <w:ind w:left="284"/>
      </w:pPr>
      <w:r>
        <w:rPr>
          <w:rFonts w:eastAsia="Times New Roman"/>
          <w:position w:val="-14"/>
        </w:rPr>
        <w:object w:dxaOrig="6720" w:dyaOrig="380" w14:anchorId="557868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18.75pt" o:ole="">
            <v:imagedata r:id="rId13" o:title=""/>
          </v:shape>
          <o:OLEObject Type="Embed" ProgID="Equation.3" ShapeID="_x0000_i1025" DrawAspect="Content" ObjectID="_1618405832" r:id="rId14"/>
        </w:object>
      </w:r>
      <w:r>
        <w:t xml:space="preserve">= ±(4 + 2*9 + </w:t>
      </w:r>
      <w:r w:rsidRPr="00FA5E98">
        <w:rPr>
          <w:highlight w:val="yellow"/>
        </w:rPr>
        <w:t>2*92</w:t>
      </w:r>
      <w:r>
        <w:t xml:space="preserve"> )</w:t>
      </w:r>
      <w:r>
        <w:rPr>
          <w:rFonts w:eastAsia="Times New Roman"/>
          <w:position w:val="-12"/>
        </w:rPr>
        <w:object w:dxaOrig="290" w:dyaOrig="360" w14:anchorId="073CE51D">
          <v:shape id="_x0000_i1026" type="#_x0000_t75" style="width:14.25pt;height:18pt" o:ole="">
            <v:imagedata r:id="rId15" o:title=""/>
          </v:shape>
          <o:OLEObject Type="Embed" ProgID="Equation.3" ShapeID="_x0000_i1026" DrawAspect="Content" ObjectID="_1618405833" r:id="rId16"/>
        </w:object>
      </w:r>
      <w:r>
        <w:rPr>
          <w:vertAlign w:val="subscript"/>
        </w:rPr>
        <w:t xml:space="preserve"> </w:t>
      </w:r>
      <w:r>
        <w:t xml:space="preserve">= ±206 </w:t>
      </w:r>
      <w:r>
        <w:rPr>
          <w:rFonts w:eastAsia="Times New Roman"/>
          <w:position w:val="-12"/>
        </w:rPr>
        <w:object w:dxaOrig="290" w:dyaOrig="360" w14:anchorId="462E3EF5">
          <v:shape id="_x0000_i1027" type="#_x0000_t75" style="width:14.25pt;height:18pt" o:ole="">
            <v:imagedata r:id="rId17" o:title=""/>
          </v:shape>
          <o:OLEObject Type="Embed" ProgID="Equation.3" ShapeID="_x0000_i1027" DrawAspect="Content" ObjectID="_1618405834" r:id="rId18"/>
        </w:object>
      </w:r>
      <w:r w:rsidRPr="0036481C">
        <w:rPr>
          <w:rFonts w:eastAsia="Times New Roman"/>
          <w:sz w:val="24"/>
          <w:szCs w:val="24"/>
        </w:rPr>
        <w:t>(1)</w:t>
      </w:r>
    </w:p>
    <w:p w14:paraId="19EAFB24" w14:textId="77777777" w:rsidR="0036481C" w:rsidRPr="0084532A" w:rsidRDefault="0036481C" w:rsidP="0084532A">
      <w:pPr>
        <w:rPr>
          <w:lang w:val="en-US" w:eastAsia="zh-CN"/>
        </w:rPr>
      </w:pPr>
      <w:r>
        <w:rPr>
          <w:lang w:val="en-US" w:eastAsia="zh-CN"/>
        </w:rPr>
        <w:t>where</w:t>
      </w:r>
    </w:p>
    <w:p w14:paraId="66B147DA" w14:textId="77777777" w:rsidR="0036481C" w:rsidRDefault="0036481C" w:rsidP="0036481C">
      <w:r>
        <w:rPr>
          <w:rFonts w:eastAsia="Times New Roman"/>
          <w:position w:val="-12"/>
        </w:rPr>
        <w:object w:dxaOrig="860" w:dyaOrig="360" w14:anchorId="77322A65">
          <v:shape id="_x0000_i1028" type="#_x0000_t75" style="width:42pt;height:18pt" o:ole="">
            <v:imagedata r:id="rId19" o:title=""/>
          </v:shape>
          <o:OLEObject Type="Embed" ProgID="Equation.3" ShapeID="_x0000_i1028" DrawAspect="Content" ObjectID="_1618405835" r:id="rId20"/>
        </w:object>
      </w:r>
      <w:r>
        <w:t xml:space="preserve"> is the uncertainty of the source cell TA value. This uncertainty is the same as in 3GPP rel-8. The optimistic uncertainty is ±4T</w:t>
      </w:r>
      <w:r>
        <w:rPr>
          <w:vertAlign w:val="subscript"/>
        </w:rPr>
        <w:t>S</w:t>
      </w:r>
      <w:r>
        <w:t xml:space="preserve"> based on the allowed UE error. (The TA step size is 16 T</w:t>
      </w:r>
      <w:r>
        <w:rPr>
          <w:vertAlign w:val="subscript"/>
        </w:rPr>
        <w:t>S</w:t>
      </w:r>
      <w:r>
        <w:t>).</w:t>
      </w:r>
    </w:p>
    <w:p w14:paraId="3A1E63BE" w14:textId="03B837EB" w:rsidR="0036481C" w:rsidRDefault="0036481C" w:rsidP="0036481C">
      <w:r>
        <w:rPr>
          <w:rFonts w:eastAsia="Times New Roman"/>
          <w:position w:val="-14"/>
        </w:rPr>
        <w:object w:dxaOrig="2120" w:dyaOrig="380" w14:anchorId="5A916C63">
          <v:shape id="_x0000_i1029" type="#_x0000_t75" style="width:106.5pt;height:18.75pt" o:ole="">
            <v:imagedata r:id="rId21" o:title=""/>
          </v:shape>
          <o:OLEObject Type="Embed" ProgID="Equation.3" ShapeID="_x0000_i1029" DrawAspect="Content" ObjectID="_1618405836" r:id="rId22"/>
        </w:object>
      </w:r>
      <w:r>
        <w:t xml:space="preserve">is the uncertainty of the relative reception time in the UE of the source and target downlinks. </w:t>
      </w:r>
      <w:r>
        <w:br/>
        <w:t xml:space="preserve">This uncertainty is approximately ±5 Ts (90%) in good SNR and ±9 Ts (90%) in bad SNR [4]. </w:t>
      </w:r>
    </w:p>
    <w:p w14:paraId="3AE538EE" w14:textId="77777777" w:rsidR="0036481C" w:rsidRPr="0036481C" w:rsidRDefault="0036481C" w:rsidP="0036481C">
      <w:r>
        <w:rPr>
          <w:rFonts w:eastAsia="Times New Roman"/>
          <w:position w:val="-14"/>
        </w:rPr>
        <w:object w:dxaOrig="2140" w:dyaOrig="380" w14:anchorId="17F7EA02">
          <v:shape id="_x0000_i1030" type="#_x0000_t75" style="width:106.5pt;height:18.75pt" o:ole="">
            <v:imagedata r:id="rId23" o:title=""/>
          </v:shape>
          <o:OLEObject Type="Embed" ProgID="Equation.3" ShapeID="_x0000_i1030" DrawAspect="Content" ObjectID="_1618405837" r:id="rId24"/>
        </w:object>
      </w:r>
      <w:r>
        <w:t>is the uncertainty of the relative transmission timing of the source and the target cell. This is similar to time alignment uncertainty in carrier aggregation.</w:t>
      </w:r>
    </w:p>
    <w:p w14:paraId="06C5D230" w14:textId="2AA3EB3F" w:rsidR="0036481C" w:rsidRDefault="0036481C" w:rsidP="0036481C">
      <w:pPr>
        <w:rPr>
          <w:lang w:val="en-US" w:eastAsia="zh-CN"/>
        </w:rPr>
      </w:pPr>
      <w:r>
        <w:rPr>
          <w:lang w:val="en-US" w:eastAsia="zh-CN"/>
        </w:rPr>
        <w:t>As can be seen from equation (1) the uncertainty budget is dominated by the term related to the BS timing error which assumes 2*3u</w:t>
      </w:r>
      <w:r w:rsidR="0069468D">
        <w:rPr>
          <w:lang w:val="en-US" w:eastAsia="zh-CN"/>
        </w:rPr>
        <w:t>s</w:t>
      </w:r>
      <w:r>
        <w:rPr>
          <w:lang w:val="en-US" w:eastAsia="zh-CN"/>
        </w:rPr>
        <w:t>=6u</w:t>
      </w:r>
      <w:r w:rsidR="0069468D">
        <w:rPr>
          <w:lang w:val="en-US" w:eastAsia="zh-CN"/>
        </w:rPr>
        <w:t>s</w:t>
      </w:r>
      <w:r>
        <w:rPr>
          <w:lang w:val="en-US" w:eastAsia="zh-CN"/>
        </w:rPr>
        <w:t>=184Ts. Such value was based on the TDD cell phase sync requirement. However, we would like to emphasi</w:t>
      </w:r>
      <w:r w:rsidR="0069468D">
        <w:rPr>
          <w:lang w:val="en-US" w:eastAsia="zh-CN"/>
        </w:rPr>
        <w:t>z</w:t>
      </w:r>
      <w:r>
        <w:rPr>
          <w:lang w:val="en-US" w:eastAsia="zh-CN"/>
        </w:rPr>
        <w:t>e</w:t>
      </w:r>
    </w:p>
    <w:p w14:paraId="6E1D391A" w14:textId="12793863" w:rsidR="0036481C" w:rsidRDefault="0036481C" w:rsidP="0036481C">
      <w:pPr>
        <w:numPr>
          <w:ilvl w:val="0"/>
          <w:numId w:val="37"/>
        </w:numPr>
        <w:rPr>
          <w:lang w:val="en-US" w:eastAsia="zh-CN"/>
        </w:rPr>
      </w:pPr>
      <w:r>
        <w:rPr>
          <w:lang w:val="en-US" w:eastAsia="zh-CN"/>
        </w:rPr>
        <w:t xml:space="preserve">It is a </w:t>
      </w:r>
      <w:r w:rsidR="005E4FFA">
        <w:rPr>
          <w:lang w:val="en-US" w:eastAsia="zh-CN"/>
        </w:rPr>
        <w:t xml:space="preserve">network </w:t>
      </w:r>
      <w:r>
        <w:rPr>
          <w:lang w:val="en-US" w:eastAsia="zh-CN"/>
        </w:rPr>
        <w:t>decision whether to use RACHless handover</w:t>
      </w:r>
      <w:r w:rsidR="0069468D">
        <w:rPr>
          <w:lang w:val="en-US" w:eastAsia="zh-CN"/>
        </w:rPr>
        <w:t xml:space="preserve"> or not</w:t>
      </w:r>
      <w:r>
        <w:rPr>
          <w:lang w:val="en-US" w:eastAsia="zh-CN"/>
        </w:rPr>
        <w:t>, and it is also the basestation which will bear the consequences of using RACHless HO in an unsuitable circumstance</w:t>
      </w:r>
    </w:p>
    <w:p w14:paraId="72248717" w14:textId="066B17E3" w:rsidR="00367330" w:rsidRDefault="0036481C" w:rsidP="0036481C">
      <w:pPr>
        <w:numPr>
          <w:ilvl w:val="0"/>
          <w:numId w:val="37"/>
        </w:numPr>
        <w:rPr>
          <w:lang w:val="en-US" w:eastAsia="zh-CN"/>
        </w:rPr>
      </w:pPr>
      <w:r>
        <w:rPr>
          <w:lang w:val="en-US" w:eastAsia="zh-CN"/>
        </w:rPr>
        <w:t>3u</w:t>
      </w:r>
      <w:r w:rsidR="0069468D">
        <w:rPr>
          <w:lang w:val="en-US" w:eastAsia="zh-CN"/>
        </w:rPr>
        <w:t>s</w:t>
      </w:r>
      <w:r>
        <w:rPr>
          <w:lang w:val="en-US" w:eastAsia="zh-CN"/>
        </w:rPr>
        <w:t xml:space="preserve"> is a worst case TDD requirement for </w:t>
      </w:r>
      <w:r w:rsidR="00367330">
        <w:rPr>
          <w:lang w:val="en-US" w:eastAsia="zh-CN"/>
        </w:rPr>
        <w:t>cell phase sync, however this is intended to avoid unnecessary synchronization cost burden on the network (for instance in scenarios of indoor TDD cell without GPS time signal available). In many cases the network will have better than 3u</w:t>
      </w:r>
      <w:r w:rsidR="0069468D">
        <w:rPr>
          <w:lang w:val="en-US" w:eastAsia="zh-CN"/>
        </w:rPr>
        <w:t>s</w:t>
      </w:r>
      <w:r w:rsidR="00367330">
        <w:rPr>
          <w:lang w:val="en-US" w:eastAsia="zh-CN"/>
        </w:rPr>
        <w:t xml:space="preserve"> </w:t>
      </w:r>
      <w:r w:rsidR="00581BBE">
        <w:rPr>
          <w:lang w:val="en-US" w:eastAsia="zh-CN"/>
        </w:rPr>
        <w:t>synchronization and</w:t>
      </w:r>
      <w:r w:rsidR="00367330">
        <w:rPr>
          <w:lang w:val="en-US" w:eastAsia="zh-CN"/>
        </w:rPr>
        <w:t xml:space="preserve"> will be aware of certain cells which are accurately </w:t>
      </w:r>
      <w:r w:rsidR="00581BBE">
        <w:rPr>
          <w:lang w:val="en-US" w:eastAsia="zh-CN"/>
        </w:rPr>
        <w:t>synchronized</w:t>
      </w:r>
      <w:r w:rsidR="00367330">
        <w:rPr>
          <w:lang w:val="en-US" w:eastAsia="zh-CN"/>
        </w:rPr>
        <w:t xml:space="preserve"> with each other. In addition, for various advanced features such as COMP, accurate network sync is beneficial.</w:t>
      </w:r>
    </w:p>
    <w:p w14:paraId="7E5F65E1" w14:textId="74DB6FEA" w:rsidR="0036481C" w:rsidRDefault="00367330" w:rsidP="00367330">
      <w:r>
        <w:rPr>
          <w:lang w:val="en-US" w:eastAsia="zh-CN"/>
        </w:rPr>
        <w:t xml:space="preserve">The other parts of the  uncertainty budget account for </w:t>
      </w:r>
      <w:r>
        <w:t>±(4 + 2*9)=</w:t>
      </w:r>
      <w:r w:rsidRPr="00367330">
        <w:t xml:space="preserve"> </w:t>
      </w:r>
      <w:r>
        <w:t>±22Ts. While this is larger than a single TA step, it is only 0.71u</w:t>
      </w:r>
      <w:r w:rsidR="0069468D">
        <w:t>s</w:t>
      </w:r>
      <w:r>
        <w:t xml:space="preserve"> and would not be a showstopper for RACHless handover.</w:t>
      </w:r>
    </w:p>
    <w:p w14:paraId="2CD45191" w14:textId="77777777" w:rsidR="00367330" w:rsidRDefault="00367330" w:rsidP="00367330">
      <w:pPr>
        <w:rPr>
          <w:b/>
          <w:lang w:val="en-US" w:eastAsia="zh-CN"/>
        </w:rPr>
      </w:pPr>
      <w:r>
        <w:rPr>
          <w:b/>
          <w:lang w:val="en-US" w:eastAsia="zh-CN"/>
        </w:rPr>
        <w:t xml:space="preserve">Observation 1: RACHless HO with UE calculated TA </w:t>
      </w:r>
      <w:r w:rsidR="00425A3C">
        <w:rPr>
          <w:b/>
          <w:lang w:val="en-US" w:eastAsia="zh-CN"/>
        </w:rPr>
        <w:t>is</w:t>
      </w:r>
      <w:r>
        <w:rPr>
          <w:b/>
          <w:lang w:val="en-US" w:eastAsia="zh-CN"/>
        </w:rPr>
        <w:t xml:space="preserve"> feasible for scenarios where the network is well </w:t>
      </w:r>
      <w:r w:rsidR="002C350B">
        <w:rPr>
          <w:b/>
          <w:lang w:val="en-US" w:eastAsia="zh-CN"/>
        </w:rPr>
        <w:t>synchronized</w:t>
      </w:r>
      <w:r>
        <w:rPr>
          <w:b/>
          <w:lang w:val="en-US" w:eastAsia="zh-CN"/>
        </w:rPr>
        <w:t>.</w:t>
      </w:r>
    </w:p>
    <w:p w14:paraId="6849DFA5" w14:textId="32BDA7E6" w:rsidR="00CD3CF8" w:rsidRPr="00CD3CF8" w:rsidRDefault="00CD3CF8" w:rsidP="00367330">
      <w:pPr>
        <w:rPr>
          <w:lang w:val="en-US" w:eastAsia="zh-CN"/>
        </w:rPr>
      </w:pPr>
      <w:r w:rsidRPr="00CD3CF8">
        <w:rPr>
          <w:lang w:val="en-US" w:eastAsia="zh-CN"/>
        </w:rPr>
        <w:t>For</w:t>
      </w:r>
      <w:r>
        <w:rPr>
          <w:lang w:val="en-US" w:eastAsia="zh-CN"/>
        </w:rPr>
        <w:t xml:space="preserve"> example, GNSS sync would allow downlink </w:t>
      </w:r>
      <w:r w:rsidR="00581BBE">
        <w:rPr>
          <w:lang w:val="en-US" w:eastAsia="zh-CN"/>
        </w:rPr>
        <w:t>synchronization</w:t>
      </w:r>
      <w:r>
        <w:rPr>
          <w:lang w:val="en-US" w:eastAsia="zh-CN"/>
        </w:rPr>
        <w:t xml:space="preserve"> to ±200ns, so the corresponding uplink error for the initial transmission of the target cell with RACH-less handover would be 0.71+0.8us or within approximately 1.5u</w:t>
      </w:r>
      <w:r w:rsidR="0069468D">
        <w:rPr>
          <w:lang w:val="en-US" w:eastAsia="zh-CN"/>
        </w:rPr>
        <w:t>s</w:t>
      </w:r>
      <w:r>
        <w:rPr>
          <w:lang w:val="en-US" w:eastAsia="zh-CN"/>
        </w:rPr>
        <w:t xml:space="preserve"> of the ideal timing. Considering that a normal CP length is 4.7us, it may be feasible to use calculated TA in nodes that are GNSS synchronized with each other</w:t>
      </w:r>
      <w:r w:rsidR="00FA5E98">
        <w:rPr>
          <w:lang w:val="en-US" w:eastAsia="zh-CN"/>
        </w:rPr>
        <w:t>, given that the timing will be refined by the normal TA procedure after handover</w:t>
      </w:r>
      <w:r>
        <w:rPr>
          <w:lang w:val="en-US" w:eastAsia="zh-CN"/>
        </w:rPr>
        <w:t xml:space="preserve">. If optical fibre connection exists between the </w:t>
      </w:r>
      <w:r w:rsidR="00581BBE">
        <w:rPr>
          <w:lang w:val="en-US" w:eastAsia="zh-CN"/>
        </w:rPr>
        <w:t>nodes,</w:t>
      </w:r>
      <w:r>
        <w:rPr>
          <w:lang w:val="en-US" w:eastAsia="zh-CN"/>
        </w:rPr>
        <w:t xml:space="preserve"> then the situation is even better. </w:t>
      </w:r>
    </w:p>
    <w:p w14:paraId="7515B114" w14:textId="77777777" w:rsidR="00367330" w:rsidRDefault="00367330" w:rsidP="00367330">
      <w:pPr>
        <w:pStyle w:val="Heading2"/>
        <w:rPr>
          <w:lang w:val="en-US" w:eastAsia="zh-CN"/>
        </w:rPr>
      </w:pPr>
      <w:r>
        <w:rPr>
          <w:lang w:val="en-US" w:eastAsia="zh-CN"/>
        </w:rPr>
        <w:t>NR considerations</w:t>
      </w:r>
    </w:p>
    <w:p w14:paraId="5C373AEF" w14:textId="77777777" w:rsidR="00367330" w:rsidRDefault="00367330" w:rsidP="00367330">
      <w:pPr>
        <w:rPr>
          <w:lang w:val="en-US" w:eastAsia="zh-CN"/>
        </w:rPr>
      </w:pPr>
      <w:r>
        <w:rPr>
          <w:lang w:val="en-US" w:eastAsia="zh-CN"/>
        </w:rPr>
        <w:t xml:space="preserve">In NR, on both FR1 and FR2, TX beamforming may be used. When the UE switches TX beam it cannot assume that the </w:t>
      </w:r>
      <w:r w:rsidR="000208BE">
        <w:rPr>
          <w:lang w:val="en-US" w:eastAsia="zh-CN"/>
        </w:rPr>
        <w:t xml:space="preserve">old and new TX beam are QCL, and it calculates an updated uplink timing. Similarly, when RX beamforming is used on FR2, the UE needs to adjust its uplink timing if it performs beam switch. In RAN4#90bis, a CR was introduced to introduce single shot adjustment by Te1 when </w:t>
      </w:r>
    </w:p>
    <w:p w14:paraId="4DDCC79A" w14:textId="77777777" w:rsidR="000208BE" w:rsidRPr="00286A5E" w:rsidRDefault="000208BE" w:rsidP="000208BE">
      <w:pPr>
        <w:pStyle w:val="BodyText"/>
        <w:rPr>
          <w:rFonts w:cs="v4.2.0"/>
        </w:rPr>
      </w:pPr>
      <w:r w:rsidRPr="00B11D1A">
        <w:rPr>
          <w:lang w:eastAsia="zh-CN"/>
        </w:rPr>
        <w:t xml:space="preserve">When the transmission timing error between the UE and the reference timing exceeds </w:t>
      </w:r>
      <w:r>
        <w:rPr>
          <w:lang w:eastAsia="zh-CN"/>
        </w:rPr>
        <w:t>±</w:t>
      </w:r>
      <w:r>
        <w:rPr>
          <w:lang w:eastAsia="zh-CN"/>
        </w:rPr>
        <w:sym w:font="Symbol" w:char="F044"/>
      </w:r>
      <w:r>
        <w:rPr>
          <w:lang w:eastAsia="zh-CN"/>
        </w:rPr>
        <w:t xml:space="preserve">T then the UE shall </w:t>
      </w:r>
      <w:r w:rsidRPr="003445FB">
        <w:rPr>
          <w:rFonts w:cs="v4.2.0"/>
        </w:rPr>
        <w:t>adjust its</w:t>
      </w:r>
      <w:r>
        <w:rPr>
          <w:rFonts w:cs="v4.2.0"/>
        </w:rPr>
        <w:t xml:space="preserve"> transmission </w:t>
      </w:r>
      <w:r w:rsidRPr="003445FB">
        <w:rPr>
          <w:rFonts w:cs="v4.2.0"/>
        </w:rPr>
        <w:t xml:space="preserve">timing </w:t>
      </w:r>
      <w:r>
        <w:rPr>
          <w:rFonts w:cs="v4.2.0"/>
        </w:rPr>
        <w:t xml:space="preserve">in one adjustment </w:t>
      </w:r>
      <w:r w:rsidRPr="003445FB">
        <w:rPr>
          <w:rFonts w:cs="v4.2.0"/>
        </w:rPr>
        <w:t xml:space="preserve">to within </w:t>
      </w:r>
      <w:r w:rsidRPr="003445FB">
        <w:rPr>
          <w:rFonts w:cs="v4.2.0"/>
        </w:rPr>
        <w:sym w:font="Symbol" w:char="F0B1"/>
      </w:r>
      <w:r w:rsidRPr="003445FB">
        <w:rPr>
          <w:rFonts w:cs="v4.2.0"/>
        </w:rPr>
        <w:t>T</w:t>
      </w:r>
      <w:r w:rsidRPr="003445FB">
        <w:rPr>
          <w:rFonts w:cs="v4.2.0"/>
          <w:vertAlign w:val="subscript"/>
        </w:rPr>
        <w:t>e</w:t>
      </w:r>
      <w:r>
        <w:rPr>
          <w:rFonts w:cs="v4.2.0"/>
          <w:vertAlign w:val="subscript"/>
        </w:rPr>
        <w:t>1</w:t>
      </w:r>
      <w:r>
        <w:rPr>
          <w:rFonts w:cs="v4.2.0"/>
        </w:rPr>
        <w:t xml:space="preserve"> provided the</w:t>
      </w:r>
      <w:r>
        <w:rPr>
          <w:rFonts w:cs="v4.2.0"/>
          <w:lang w:eastAsia="ko-KR"/>
        </w:rPr>
        <w:t xml:space="preserve"> following conditions are met at the UE</w:t>
      </w:r>
      <w:r w:rsidRPr="003445FB">
        <w:rPr>
          <w:rFonts w:cs="v4.2.0"/>
        </w:rPr>
        <w:t>:</w:t>
      </w:r>
    </w:p>
    <w:p w14:paraId="29E2448D" w14:textId="77777777" w:rsidR="000208BE" w:rsidRDefault="000208BE" w:rsidP="000208BE">
      <w:pPr>
        <w:pStyle w:val="B10"/>
        <w:numPr>
          <w:ilvl w:val="0"/>
          <w:numId w:val="38"/>
        </w:numPr>
      </w:pPr>
      <w:r w:rsidRPr="003445FB">
        <w:t xml:space="preserve">SSB_RP and SSB </w:t>
      </w:r>
      <w:r w:rsidRPr="003445FB">
        <w:rPr>
          <w:lang w:val="en-US"/>
        </w:rPr>
        <w:t>Ês/Iot</w:t>
      </w:r>
      <w:r w:rsidRPr="003445FB">
        <w:t xml:space="preserve"> according to Annex B.2.</w:t>
      </w:r>
      <w:r>
        <w:t>6.1</w:t>
      </w:r>
      <w:r w:rsidRPr="003445FB">
        <w:t xml:space="preserve"> for a corresponding </w:t>
      </w:r>
      <w:r>
        <w:t xml:space="preserve">operating </w:t>
      </w:r>
      <w:r w:rsidRPr="003445FB">
        <w:t>Band</w:t>
      </w:r>
      <w:r>
        <w:t>,</w:t>
      </w:r>
    </w:p>
    <w:p w14:paraId="686C9463" w14:textId="77777777" w:rsidR="000208BE" w:rsidRPr="006A1BDD" w:rsidRDefault="000208BE" w:rsidP="000208BE">
      <w:pPr>
        <w:pStyle w:val="B10"/>
        <w:numPr>
          <w:ilvl w:val="0"/>
          <w:numId w:val="38"/>
        </w:numPr>
      </w:pPr>
      <w:r>
        <w:t>CSI-RS</w:t>
      </w:r>
      <w:r w:rsidRPr="003445FB">
        <w:t xml:space="preserve">_RP and </w:t>
      </w:r>
      <w:r>
        <w:t xml:space="preserve">CSI-RS </w:t>
      </w:r>
      <w:r w:rsidRPr="003445FB">
        <w:rPr>
          <w:lang w:val="en-US"/>
        </w:rPr>
        <w:t>Ês/Iot</w:t>
      </w:r>
      <w:r w:rsidRPr="003445FB">
        <w:t xml:space="preserve"> according to Annex B.2.</w:t>
      </w:r>
      <w:r>
        <w:t>6.2</w:t>
      </w:r>
      <w:r w:rsidRPr="003445FB">
        <w:t xml:space="preserve"> for a corresponding </w:t>
      </w:r>
      <w:r>
        <w:t xml:space="preserve">operating </w:t>
      </w:r>
      <w:r w:rsidRPr="003445FB">
        <w:t>Band</w:t>
      </w:r>
      <w:r>
        <w:t>,</w:t>
      </w:r>
    </w:p>
    <w:p w14:paraId="28857887" w14:textId="77777777" w:rsidR="000208BE" w:rsidRPr="003E11E9" w:rsidRDefault="000208BE" w:rsidP="000208BE">
      <w:pPr>
        <w:pStyle w:val="BodyText"/>
        <w:rPr>
          <w:rFonts w:cs="v4.2.0"/>
          <w:i/>
        </w:rPr>
      </w:pPr>
      <w:r w:rsidRPr="0097695B">
        <w:rPr>
          <w:rFonts w:cs="v4.2.0"/>
          <w:i/>
        </w:rPr>
        <w:t>Editor’s note: The value</w:t>
      </w:r>
      <w:r>
        <w:rPr>
          <w:rFonts w:cs="v4.2.0"/>
          <w:i/>
        </w:rPr>
        <w:t xml:space="preserve">s </w:t>
      </w:r>
      <w:r w:rsidRPr="0097695B">
        <w:rPr>
          <w:rFonts w:cs="v4.2.0"/>
          <w:i/>
        </w:rPr>
        <w:t xml:space="preserve">of Te1 </w:t>
      </w:r>
      <w:r>
        <w:rPr>
          <w:rFonts w:cs="v4.2.0"/>
          <w:i/>
        </w:rPr>
        <w:t xml:space="preserve">and </w:t>
      </w:r>
      <w:r w:rsidRPr="0097695B">
        <w:rPr>
          <w:lang w:eastAsia="zh-CN"/>
        </w:rPr>
        <w:sym w:font="Symbol" w:char="F044"/>
      </w:r>
      <w:r w:rsidRPr="0097695B">
        <w:rPr>
          <w:lang w:eastAsia="zh-CN"/>
        </w:rPr>
        <w:t>T</w:t>
      </w:r>
      <w:r w:rsidRPr="0097695B">
        <w:rPr>
          <w:rFonts w:cs="v4.2.0"/>
          <w:i/>
        </w:rPr>
        <w:t xml:space="preserve"> </w:t>
      </w:r>
      <w:r>
        <w:rPr>
          <w:rFonts w:cs="v4.2.0"/>
          <w:i/>
        </w:rPr>
        <w:t xml:space="preserve">are </w:t>
      </w:r>
      <w:r w:rsidRPr="0097695B">
        <w:rPr>
          <w:rFonts w:cs="v4.2.0"/>
          <w:i/>
        </w:rPr>
        <w:t>FFS</w:t>
      </w:r>
      <w:r w:rsidRPr="0097695B">
        <w:rPr>
          <w:i/>
          <w:lang w:eastAsia="zh-CN"/>
        </w:rPr>
        <w:t>.</w:t>
      </w:r>
    </w:p>
    <w:p w14:paraId="236D8F5D" w14:textId="77777777" w:rsidR="002C350B" w:rsidRDefault="000208BE" w:rsidP="00367330">
      <w:pPr>
        <w:rPr>
          <w:lang w:val="en-US" w:eastAsia="zh-CN"/>
        </w:rPr>
      </w:pPr>
      <w:r>
        <w:rPr>
          <w:lang w:val="en-US" w:eastAsia="zh-CN"/>
        </w:rPr>
        <w:t xml:space="preserve">While the exact value of Te1 is still FFS, it is clear that the concept of adapting uplink timing due to a new downlink reference timing to account for propagation delay changes </w:t>
      </w:r>
      <w:r w:rsidR="002C350B">
        <w:rPr>
          <w:lang w:val="en-US" w:eastAsia="zh-CN"/>
        </w:rPr>
        <w:t>is the same solution as the proposed solution 2.1 for LTE handover, at least for the nominal timing. Te1 determines how far away from nominal timing the UE is required to be.</w:t>
      </w:r>
    </w:p>
    <w:p w14:paraId="3D219EBA" w14:textId="77777777" w:rsidR="000208BE" w:rsidRDefault="002C350B" w:rsidP="00367330">
      <w:pPr>
        <w:rPr>
          <w:b/>
          <w:lang w:val="en-US" w:eastAsia="zh-CN"/>
        </w:rPr>
      </w:pPr>
      <w:r>
        <w:rPr>
          <w:b/>
          <w:lang w:val="en-US" w:eastAsia="zh-CN"/>
        </w:rPr>
        <w:t>Observation 2: Calculated uplink timin</w:t>
      </w:r>
      <w:r w:rsidRPr="002C350B">
        <w:rPr>
          <w:b/>
          <w:lang w:val="en-US" w:eastAsia="zh-CN"/>
        </w:rPr>
        <w:t>g adjustments</w:t>
      </w:r>
      <w:r>
        <w:rPr>
          <w:b/>
          <w:lang w:val="en-US" w:eastAsia="zh-CN"/>
        </w:rPr>
        <w:t xml:space="preserve"> are already applied in NR at RX and TX beam switch.</w:t>
      </w:r>
    </w:p>
    <w:p w14:paraId="4DD32B66" w14:textId="77777777" w:rsidR="002C350B" w:rsidRDefault="002C350B" w:rsidP="00367330">
      <w:pPr>
        <w:rPr>
          <w:lang w:val="en-US" w:eastAsia="zh-CN"/>
        </w:rPr>
      </w:pPr>
      <w:r>
        <w:rPr>
          <w:lang w:val="en-US" w:eastAsia="zh-CN"/>
        </w:rPr>
        <w:t>Observation 2 represents a key difference between NR and LTE, since the calculated TA procedure (single shot adjustment) is already part of the NR specification when the timing change occurs due to layer 1 switching (moving to a new beam of the same serving cell). Hence, there seems no reason to exclude the exactly analogous procedure when L3 switching (moving to a different serving cell) is used.</w:t>
      </w:r>
    </w:p>
    <w:p w14:paraId="3934BC20" w14:textId="300E8DED" w:rsidR="00CD3CF8" w:rsidRDefault="00CD3CF8" w:rsidP="00367330">
      <w:pPr>
        <w:rPr>
          <w:lang w:val="en-US" w:eastAsia="zh-CN"/>
        </w:rPr>
      </w:pPr>
      <w:r>
        <w:rPr>
          <w:lang w:val="en-US" w:eastAsia="zh-CN"/>
        </w:rPr>
        <w:t xml:space="preserve">Without calculated TA, the use cases for RACHless handover are essentially limited to small cells. </w:t>
      </w:r>
      <w:r w:rsidR="00581BBE">
        <w:rPr>
          <w:lang w:val="en-US" w:eastAsia="zh-CN"/>
        </w:rPr>
        <w:t>Indeed,</w:t>
      </w:r>
      <w:r w:rsidR="00FA5E98">
        <w:rPr>
          <w:lang w:val="en-US" w:eastAsia="zh-CN"/>
        </w:rPr>
        <w:t xml:space="preserve"> even for small cells</w:t>
      </w:r>
      <w:r>
        <w:rPr>
          <w:lang w:val="en-US" w:eastAsia="zh-CN"/>
        </w:rPr>
        <w:t xml:space="preserve">, if the small cells have </w:t>
      </w:r>
      <w:r w:rsidR="00FA5E98">
        <w:rPr>
          <w:lang w:val="en-US" w:eastAsia="zh-CN"/>
        </w:rPr>
        <w:t xml:space="preserve">worst case </w:t>
      </w:r>
      <w:r>
        <w:rPr>
          <w:lang w:val="en-US" w:eastAsia="zh-CN"/>
        </w:rPr>
        <w:t>3uS cell phase sync</w:t>
      </w:r>
      <w:r w:rsidR="00FA5E98">
        <w:rPr>
          <w:lang w:val="en-US" w:eastAsia="zh-CN"/>
        </w:rPr>
        <w:t xml:space="preserve"> error</w:t>
      </w:r>
      <w:r>
        <w:rPr>
          <w:lang w:val="en-US" w:eastAsia="zh-CN"/>
        </w:rPr>
        <w:t>, RACHless handover will fail from an uplink timing perspective anyway. In theory, RACHless handover can also be used with equal but non zero TA. In realistic propagation environments such propagation conditions are never guaranteed</w:t>
      </w:r>
    </w:p>
    <w:p w14:paraId="3721E9D2" w14:textId="1BB4F816" w:rsidR="00CD3CF8" w:rsidRDefault="00CD3CF8" w:rsidP="00367330">
      <w:pPr>
        <w:rPr>
          <w:b/>
          <w:lang w:val="en-US" w:eastAsia="zh-CN"/>
        </w:rPr>
      </w:pPr>
      <w:r>
        <w:rPr>
          <w:b/>
          <w:lang w:val="en-US" w:eastAsia="zh-CN"/>
        </w:rPr>
        <w:lastRenderedPageBreak/>
        <w:t>Observation 3: Without calculated TA, the use cases for RACHless handover are limited</w:t>
      </w:r>
      <w:r w:rsidR="009D1A42">
        <w:rPr>
          <w:b/>
          <w:lang w:val="en-US" w:eastAsia="zh-CN"/>
        </w:rPr>
        <w:t xml:space="preserve"> to small cells</w:t>
      </w:r>
      <w:r>
        <w:rPr>
          <w:b/>
          <w:lang w:val="en-US" w:eastAsia="zh-CN"/>
        </w:rPr>
        <w:t>.</w:t>
      </w:r>
    </w:p>
    <w:p w14:paraId="2B140118" w14:textId="77777777" w:rsidR="009D1A42" w:rsidRDefault="009D1A42" w:rsidP="00367330">
      <w:pPr>
        <w:rPr>
          <w:lang w:val="en-US" w:eastAsia="zh-CN"/>
        </w:rPr>
      </w:pPr>
      <w:r>
        <w:rPr>
          <w:lang w:val="en-US" w:eastAsia="zh-CN"/>
        </w:rPr>
        <w:t>Due to observations 1-3, we propose that calculated TA is specified for NR. Many of the requirements developed by RAN4 for TX beam switch uplink timing may be reused for the RACH-less handover case.</w:t>
      </w:r>
    </w:p>
    <w:p w14:paraId="397ACD76" w14:textId="77777777" w:rsidR="009D1A42" w:rsidRDefault="009D1A42" w:rsidP="00367330">
      <w:pPr>
        <w:rPr>
          <w:b/>
          <w:lang w:val="en-US" w:eastAsia="zh-CN"/>
        </w:rPr>
      </w:pPr>
      <w:r>
        <w:rPr>
          <w:b/>
          <w:lang w:val="en-US" w:eastAsia="zh-CN"/>
        </w:rPr>
        <w:t>Proposal 1: RACH-less handover with calculated TA is supported for NR mobility enhancement in synchronous networks</w:t>
      </w:r>
    </w:p>
    <w:p w14:paraId="3728F63E" w14:textId="244342CF" w:rsidR="009D1A42" w:rsidRPr="009D1A42" w:rsidRDefault="009D1A42" w:rsidP="00367330">
      <w:pPr>
        <w:rPr>
          <w:lang w:val="en-US" w:eastAsia="zh-CN"/>
        </w:rPr>
      </w:pPr>
      <w:r w:rsidRPr="009D1A42">
        <w:rPr>
          <w:lang w:val="en-US" w:eastAsia="zh-CN"/>
        </w:rPr>
        <w:t xml:space="preserve">Regarding </w:t>
      </w:r>
      <w:r>
        <w:rPr>
          <w:lang w:val="en-US" w:eastAsia="zh-CN"/>
        </w:rPr>
        <w:t>RACHless handover in asynchronous networks, it seems unlikely that the network has good knowledge of Td such that it can signal a suitable value to the UE. If the network knew Td accurately, it would be better to use the information to align the downlink timing of the cells (</w:t>
      </w:r>
      <w:r w:rsidR="00581BBE">
        <w:rPr>
          <w:lang w:val="en-US" w:eastAsia="zh-CN"/>
        </w:rPr>
        <w:t>i.e.</w:t>
      </w:r>
      <w:r>
        <w:rPr>
          <w:lang w:val="en-US" w:eastAsia="zh-CN"/>
        </w:rPr>
        <w:t xml:space="preserve"> </w:t>
      </w:r>
      <w:r w:rsidR="00581BBE">
        <w:rPr>
          <w:lang w:val="en-US" w:eastAsia="zh-CN"/>
        </w:rPr>
        <w:t>synchronize</w:t>
      </w:r>
      <w:r>
        <w:rPr>
          <w:lang w:val="en-US" w:eastAsia="zh-CN"/>
        </w:rPr>
        <w:t xml:space="preserve"> the network) rather than to transmit the cells with a known time offset and signal it to the UE.</w:t>
      </w:r>
    </w:p>
    <w:p w14:paraId="397B8237" w14:textId="77777777" w:rsidR="00425A3C" w:rsidRDefault="00425A3C" w:rsidP="00425A3C">
      <w:pPr>
        <w:rPr>
          <w:b/>
          <w:lang w:val="en-US" w:eastAsia="zh-CN"/>
        </w:rPr>
      </w:pPr>
      <w:r>
        <w:rPr>
          <w:b/>
          <w:lang w:val="en-US" w:eastAsia="zh-CN"/>
        </w:rPr>
        <w:t>Proposal 2: RACH-less handover with calculated TA is not supported for NR mobility enhancement in asynchronous networks</w:t>
      </w:r>
    </w:p>
    <w:p w14:paraId="5AC5AEA1" w14:textId="355E781A" w:rsidR="005E4FFA" w:rsidRDefault="009D1A42" w:rsidP="005E4FFA">
      <w:pPr>
        <w:pStyle w:val="CommentText"/>
        <w:rPr>
          <w:lang w:val="en-US"/>
        </w:rPr>
      </w:pPr>
      <w:r>
        <w:rPr>
          <w:lang w:val="en-US" w:eastAsia="zh-CN"/>
        </w:rPr>
        <w:t xml:space="preserve">Finally, the whole RACH-less procedure is still FFS for FR2. </w:t>
      </w:r>
      <w:r w:rsidR="006B6666">
        <w:rPr>
          <w:lang w:val="en-US" w:eastAsia="zh-CN"/>
        </w:rPr>
        <w:t xml:space="preserve">From RAN4’s perspective RACHless handover on FR2 could be feasible but the main issue is </w:t>
      </w:r>
      <w:r w:rsidR="005E4FFA">
        <w:rPr>
          <w:lang w:val="en-US" w:eastAsia="zh-CN"/>
        </w:rPr>
        <w:t xml:space="preserve">around which beam resource(s) to use for UL grants. We have a corresponding proposal in RAN2 that </w:t>
      </w:r>
      <w:r w:rsidR="005E4FFA">
        <w:rPr>
          <w:lang w:val="en-US"/>
        </w:rPr>
        <w:t>UL grants should not be beam specific, i.e. the UE should transmit in all available UL grants (until it gets a response). We also  propose that the RACH-less configuration should be limited to one or a few DL beams, and that the UE uses RACH procedure if it ends up on a different DL beam. This is similar to Contention Free Random Access, where dedicated preambles may only be provided for some beams and where the UE uses Contention Based Random Access on other beams.</w:t>
      </w:r>
    </w:p>
    <w:p w14:paraId="43192AE3" w14:textId="77777777" w:rsidR="005E4FFA" w:rsidRDefault="005E4FFA" w:rsidP="005E4FFA">
      <w:pPr>
        <w:pStyle w:val="CommentText"/>
        <w:rPr>
          <w:lang w:val="en-US"/>
        </w:rPr>
      </w:pPr>
    </w:p>
    <w:p w14:paraId="523F3BB7" w14:textId="2F8E47D6" w:rsidR="009D1A42" w:rsidRDefault="006B6666" w:rsidP="00367330">
      <w:pPr>
        <w:rPr>
          <w:lang w:val="en-US" w:eastAsia="zh-CN"/>
        </w:rPr>
      </w:pPr>
      <w:r>
        <w:rPr>
          <w:lang w:val="en-US" w:eastAsia="zh-CN"/>
        </w:rPr>
        <w:t xml:space="preserve">Whether the signaling and physical layer procedures support FR2 RACH-less handover is more of a question for RAN1 and RAN2. RAN4 should develop the requirements for FR2 RACHless handover if the uplink grant mechanism supports such operation. In this case, proposals 1 and 2 may also apply </w:t>
      </w:r>
      <w:r w:rsidR="00FA5E98">
        <w:rPr>
          <w:lang w:val="en-US" w:eastAsia="zh-CN"/>
        </w:rPr>
        <w:t>to</w:t>
      </w:r>
      <w:r>
        <w:rPr>
          <w:lang w:val="en-US" w:eastAsia="zh-CN"/>
        </w:rPr>
        <w:t xml:space="preserve"> FR2.</w:t>
      </w:r>
    </w:p>
    <w:p w14:paraId="5EE2BD1C" w14:textId="17C49A4B" w:rsidR="006B6666" w:rsidRPr="006B6666" w:rsidRDefault="006B6666" w:rsidP="00367330">
      <w:pPr>
        <w:rPr>
          <w:b/>
          <w:lang w:val="en-US" w:eastAsia="zh-CN"/>
        </w:rPr>
      </w:pPr>
      <w:r>
        <w:rPr>
          <w:b/>
          <w:lang w:val="en-US" w:eastAsia="zh-CN"/>
        </w:rPr>
        <w:t xml:space="preserve">Proposal 3: RAN4 should develop requirements for FR2 RACHless handover </w:t>
      </w:r>
      <w:r w:rsidR="005E4FFA">
        <w:rPr>
          <w:b/>
          <w:lang w:val="en-US" w:eastAsia="zh-CN"/>
        </w:rPr>
        <w:t xml:space="preserve">once </w:t>
      </w:r>
      <w:r>
        <w:rPr>
          <w:b/>
          <w:lang w:val="en-US" w:eastAsia="zh-CN"/>
        </w:rPr>
        <w:t>the procedures are specified in other working groups</w:t>
      </w:r>
    </w:p>
    <w:p w14:paraId="3B7DCF03" w14:textId="77777777" w:rsidR="006B6666" w:rsidRPr="00367330" w:rsidRDefault="006B6666" w:rsidP="006B6666">
      <w:pPr>
        <w:rPr>
          <w:b/>
          <w:lang w:val="en-US" w:eastAsia="zh-CN"/>
        </w:rPr>
      </w:pPr>
    </w:p>
    <w:p w14:paraId="647B78E2" w14:textId="77777777" w:rsidR="006B6666" w:rsidRDefault="006B6666" w:rsidP="006B6666">
      <w:pPr>
        <w:pStyle w:val="Heading1"/>
        <w:jc w:val="both"/>
        <w:rPr>
          <w:rFonts w:eastAsia="SimSun"/>
          <w:lang w:val="en-US" w:eastAsia="zh-CN"/>
        </w:rPr>
      </w:pPr>
      <w:r>
        <w:rPr>
          <w:rFonts w:eastAsia="SimSun"/>
          <w:lang w:val="en-US" w:eastAsia="zh-CN"/>
        </w:rPr>
        <w:t>Conclusions</w:t>
      </w:r>
    </w:p>
    <w:p w14:paraId="6FD96B49" w14:textId="77777777" w:rsidR="006B6666" w:rsidRDefault="006B6666" w:rsidP="006B6666">
      <w:pPr>
        <w:rPr>
          <w:lang w:val="en-US" w:eastAsia="zh-CN"/>
        </w:rPr>
      </w:pPr>
      <w:r>
        <w:rPr>
          <w:lang w:val="en-US" w:eastAsia="zh-CN"/>
        </w:rPr>
        <w:t>In this contribution we discuss RACHless handover for NR mobility enhancement. We observe</w:t>
      </w:r>
    </w:p>
    <w:p w14:paraId="02F5D306" w14:textId="77777777" w:rsidR="006B6666" w:rsidRDefault="006B6666" w:rsidP="006B6666">
      <w:pPr>
        <w:rPr>
          <w:b/>
          <w:lang w:val="en-US" w:eastAsia="zh-CN"/>
        </w:rPr>
      </w:pPr>
      <w:bookmarkStart w:id="2" w:name="_Hlk6912710"/>
      <w:r>
        <w:rPr>
          <w:b/>
          <w:lang w:val="en-US" w:eastAsia="zh-CN"/>
        </w:rPr>
        <w:t xml:space="preserve">Observation 1: RACHless HO with UE calculated TA </w:t>
      </w:r>
      <w:r w:rsidR="001742F5">
        <w:rPr>
          <w:b/>
          <w:lang w:val="en-US" w:eastAsia="zh-CN"/>
        </w:rPr>
        <w:t>is</w:t>
      </w:r>
      <w:r>
        <w:rPr>
          <w:b/>
          <w:lang w:val="en-US" w:eastAsia="zh-CN"/>
        </w:rPr>
        <w:t xml:space="preserve"> feasible for scenarios where the network is well synchronized.</w:t>
      </w:r>
    </w:p>
    <w:p w14:paraId="2BAD3844" w14:textId="77777777" w:rsidR="006B6666" w:rsidRDefault="006B6666" w:rsidP="006B6666">
      <w:pPr>
        <w:rPr>
          <w:b/>
          <w:lang w:val="en-US" w:eastAsia="zh-CN"/>
        </w:rPr>
      </w:pPr>
      <w:r>
        <w:rPr>
          <w:b/>
          <w:lang w:val="en-US" w:eastAsia="zh-CN"/>
        </w:rPr>
        <w:t>Observation 2: Calculated uplink timin</w:t>
      </w:r>
      <w:r w:rsidRPr="002C350B">
        <w:rPr>
          <w:b/>
          <w:lang w:val="en-US" w:eastAsia="zh-CN"/>
        </w:rPr>
        <w:t>g adjustments</w:t>
      </w:r>
      <w:r>
        <w:rPr>
          <w:b/>
          <w:lang w:val="en-US" w:eastAsia="zh-CN"/>
        </w:rPr>
        <w:t xml:space="preserve"> are already applied in NR at RX and TX beam switch.</w:t>
      </w:r>
    </w:p>
    <w:p w14:paraId="2F544D31" w14:textId="77777777" w:rsidR="006B6666" w:rsidRPr="006B6666" w:rsidRDefault="006B6666" w:rsidP="006B6666">
      <w:pPr>
        <w:rPr>
          <w:b/>
          <w:lang w:val="en-US" w:eastAsia="zh-CN"/>
        </w:rPr>
      </w:pPr>
      <w:r>
        <w:rPr>
          <w:b/>
          <w:lang w:val="en-US" w:eastAsia="zh-CN"/>
        </w:rPr>
        <w:t>Observation 3: Without calculated TA, the use cases for RACHless handover are limited to well synchronized  small cells.</w:t>
      </w:r>
    </w:p>
    <w:p w14:paraId="50221C07" w14:textId="77777777" w:rsidR="006B6666" w:rsidRPr="006B6666" w:rsidRDefault="006B6666" w:rsidP="006B6666">
      <w:pPr>
        <w:rPr>
          <w:lang w:val="en-US" w:eastAsia="zh-CN"/>
        </w:rPr>
      </w:pPr>
      <w:r>
        <w:rPr>
          <w:lang w:val="en-US" w:eastAsia="zh-CN"/>
        </w:rPr>
        <w:t>For these reasons, we propose:</w:t>
      </w:r>
    </w:p>
    <w:p w14:paraId="479A2078" w14:textId="77777777" w:rsidR="006B6666" w:rsidRPr="006B6666" w:rsidRDefault="006B6666" w:rsidP="006B6666">
      <w:pPr>
        <w:rPr>
          <w:b/>
          <w:lang w:val="en-US" w:eastAsia="zh-CN"/>
        </w:rPr>
      </w:pPr>
      <w:r>
        <w:rPr>
          <w:b/>
          <w:lang w:val="en-US" w:eastAsia="zh-CN"/>
        </w:rPr>
        <w:t>Proposal 1: RACH-less handover with calculated TA is supported for NR mobility enhancement in synchronous networks</w:t>
      </w:r>
      <w:r>
        <w:rPr>
          <w:lang w:val="en-US" w:eastAsia="zh-CN"/>
        </w:rPr>
        <w:t xml:space="preserve"> </w:t>
      </w:r>
    </w:p>
    <w:p w14:paraId="7EDC72F5" w14:textId="77777777" w:rsidR="006B6666" w:rsidRDefault="006B6666" w:rsidP="006B6666">
      <w:pPr>
        <w:rPr>
          <w:b/>
          <w:lang w:val="en-US" w:eastAsia="zh-CN"/>
        </w:rPr>
      </w:pPr>
      <w:r>
        <w:rPr>
          <w:b/>
          <w:lang w:val="en-US" w:eastAsia="zh-CN"/>
        </w:rPr>
        <w:t xml:space="preserve">Proposal 2: RACH-less handover with calculated TA is </w:t>
      </w:r>
      <w:r w:rsidR="00425A3C">
        <w:rPr>
          <w:b/>
          <w:lang w:val="en-US" w:eastAsia="zh-CN"/>
        </w:rPr>
        <w:t xml:space="preserve">not </w:t>
      </w:r>
      <w:r>
        <w:rPr>
          <w:b/>
          <w:lang w:val="en-US" w:eastAsia="zh-CN"/>
        </w:rPr>
        <w:t xml:space="preserve">supported for NR mobility enhancement in </w:t>
      </w:r>
      <w:r w:rsidR="00425A3C">
        <w:rPr>
          <w:b/>
          <w:lang w:val="en-US" w:eastAsia="zh-CN"/>
        </w:rPr>
        <w:t>a</w:t>
      </w:r>
      <w:r>
        <w:rPr>
          <w:b/>
          <w:lang w:val="en-US" w:eastAsia="zh-CN"/>
        </w:rPr>
        <w:t>synchronous networks</w:t>
      </w:r>
    </w:p>
    <w:p w14:paraId="6A331943" w14:textId="6C5FE8CA" w:rsidR="006B6666" w:rsidRPr="006B6666" w:rsidRDefault="006B6666" w:rsidP="006B6666">
      <w:pPr>
        <w:rPr>
          <w:b/>
          <w:lang w:val="en-US" w:eastAsia="zh-CN"/>
        </w:rPr>
      </w:pPr>
      <w:r>
        <w:rPr>
          <w:b/>
          <w:lang w:val="en-US" w:eastAsia="zh-CN"/>
        </w:rPr>
        <w:t xml:space="preserve">Proposal 3: RAN4 should develop requirements for FR2 RACHless handover </w:t>
      </w:r>
      <w:r w:rsidR="005E4FFA">
        <w:rPr>
          <w:b/>
          <w:lang w:val="en-US" w:eastAsia="zh-CN"/>
        </w:rPr>
        <w:t xml:space="preserve">once </w:t>
      </w:r>
      <w:r>
        <w:rPr>
          <w:b/>
          <w:lang w:val="en-US" w:eastAsia="zh-CN"/>
        </w:rPr>
        <w:t>the procedures are specified in other working groups</w:t>
      </w:r>
    </w:p>
    <w:bookmarkEnd w:id="2"/>
    <w:p w14:paraId="455D0DB6" w14:textId="77777777" w:rsidR="00367330" w:rsidRPr="00367330" w:rsidRDefault="00367330" w:rsidP="00367330">
      <w:pPr>
        <w:rPr>
          <w:b/>
          <w:lang w:val="en-US" w:eastAsia="zh-CN"/>
        </w:rPr>
      </w:pPr>
    </w:p>
    <w:p w14:paraId="1DE3C7F3" w14:textId="77777777" w:rsidR="005813AA" w:rsidRDefault="005813AA" w:rsidP="005813AA">
      <w:pPr>
        <w:pStyle w:val="Heading1"/>
        <w:jc w:val="both"/>
        <w:rPr>
          <w:rFonts w:eastAsia="SimSun"/>
          <w:lang w:val="en-US" w:eastAsia="zh-CN"/>
        </w:rPr>
      </w:pPr>
      <w:r>
        <w:rPr>
          <w:rFonts w:eastAsia="SimSun"/>
          <w:lang w:val="en-US" w:eastAsia="zh-CN"/>
        </w:rPr>
        <w:t>References</w:t>
      </w:r>
    </w:p>
    <w:p w14:paraId="467A7E08" w14:textId="77777777" w:rsidR="006B6666" w:rsidRPr="006B6666" w:rsidRDefault="006B6666" w:rsidP="006B6666">
      <w:pPr>
        <w:rPr>
          <w:lang w:val="en-US" w:eastAsia="zh-CN"/>
        </w:rPr>
      </w:pPr>
    </w:p>
    <w:p w14:paraId="6441E10E" w14:textId="77777777" w:rsidR="005F15AB" w:rsidRDefault="008505EC" w:rsidP="004B11A3">
      <w:pPr>
        <w:pStyle w:val="3GPPNormalText"/>
        <w:numPr>
          <w:ilvl w:val="0"/>
          <w:numId w:val="5"/>
        </w:numPr>
        <w:rPr>
          <w:szCs w:val="20"/>
          <w:lang w:eastAsia="zh-CN"/>
        </w:rPr>
      </w:pPr>
      <w:r w:rsidRPr="008505EC">
        <w:rPr>
          <w:szCs w:val="20"/>
          <w:lang w:eastAsia="zh-CN"/>
        </w:rPr>
        <w:t>R4-166817, “Reply LS on the feasibility of mobility enhancement solutions</w:t>
      </w:r>
      <w:r>
        <w:rPr>
          <w:szCs w:val="20"/>
          <w:lang w:eastAsia="zh-CN"/>
        </w:rPr>
        <w:t>”, RAN WG4</w:t>
      </w:r>
    </w:p>
    <w:p w14:paraId="4E63C25B" w14:textId="77777777" w:rsidR="0084532A" w:rsidRPr="000208BE" w:rsidRDefault="0084532A" w:rsidP="004B11A3">
      <w:pPr>
        <w:pStyle w:val="3GPPNormalText"/>
        <w:numPr>
          <w:ilvl w:val="0"/>
          <w:numId w:val="5"/>
        </w:numPr>
        <w:rPr>
          <w:szCs w:val="20"/>
          <w:lang w:eastAsia="zh-CN"/>
        </w:rPr>
      </w:pPr>
      <w:bookmarkStart w:id="3" w:name="_Ref6907262"/>
      <w:r>
        <w:rPr>
          <w:rFonts w:ascii="Arial" w:hAnsi="Arial"/>
          <w:color w:val="000000"/>
          <w:sz w:val="18"/>
          <w:szCs w:val="18"/>
        </w:rPr>
        <w:t>R4-16</w:t>
      </w:r>
      <w:r w:rsidR="008505EC">
        <w:rPr>
          <w:rFonts w:ascii="Arial" w:hAnsi="Arial"/>
          <w:color w:val="000000"/>
          <w:sz w:val="18"/>
          <w:szCs w:val="18"/>
        </w:rPr>
        <w:t>5124, “</w:t>
      </w:r>
      <w:r>
        <w:rPr>
          <w:rFonts w:ascii="Arial" w:hAnsi="Arial"/>
          <w:color w:val="000000"/>
          <w:sz w:val="18"/>
          <w:szCs w:val="18"/>
        </w:rPr>
        <w:t>Considerations related to RAN2 questions on mobility enhancements and RACHless handover</w:t>
      </w:r>
      <w:r w:rsidR="008505EC">
        <w:rPr>
          <w:rFonts w:ascii="Arial" w:hAnsi="Arial"/>
          <w:color w:val="000000"/>
          <w:sz w:val="18"/>
          <w:szCs w:val="18"/>
        </w:rPr>
        <w:t>”, Ericsson</w:t>
      </w:r>
      <w:bookmarkEnd w:id="3"/>
    </w:p>
    <w:p w14:paraId="642408F4" w14:textId="77777777" w:rsidR="000208BE" w:rsidRPr="00C904B5" w:rsidRDefault="000208BE" w:rsidP="004B11A3">
      <w:pPr>
        <w:pStyle w:val="3GPPNormalText"/>
        <w:numPr>
          <w:ilvl w:val="0"/>
          <w:numId w:val="5"/>
        </w:numPr>
        <w:rPr>
          <w:szCs w:val="20"/>
          <w:lang w:eastAsia="zh-CN"/>
        </w:rPr>
      </w:pPr>
      <w:r>
        <w:rPr>
          <w:szCs w:val="20"/>
          <w:lang w:eastAsia="zh-CN"/>
        </w:rPr>
        <w:t>R4-1904850, “</w:t>
      </w:r>
      <w:r>
        <w:rPr>
          <w:noProof/>
        </w:rPr>
        <w:t xml:space="preserve">Section 7.1: </w:t>
      </w:r>
      <w:r w:rsidRPr="00F17342">
        <w:rPr>
          <w:noProof/>
        </w:rPr>
        <w:t>UE Transmit Timing Requirements under Beam Switch</w:t>
      </w:r>
      <w:r>
        <w:rPr>
          <w:noProof/>
        </w:rPr>
        <w:t xml:space="preserve">”, </w:t>
      </w:r>
      <w:r w:rsidRPr="000208BE">
        <w:rPr>
          <w:noProof/>
        </w:rPr>
        <w:t>Ericsson, Mediatek, Qualcomm, Intel, Nokia, Nokia Shanghai Bell</w:t>
      </w:r>
    </w:p>
    <w:sectPr w:rsidR="000208BE" w:rsidRPr="00C904B5" w:rsidSect="00034006">
      <w:footerReference w:type="even" r:id="rId25"/>
      <w:footerReference w:type="default" r:id="rId26"/>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0C275" w14:textId="77777777" w:rsidR="00DA2761" w:rsidRDefault="00DA2761">
      <w:r>
        <w:separator/>
      </w:r>
    </w:p>
  </w:endnote>
  <w:endnote w:type="continuationSeparator" w:id="0">
    <w:p w14:paraId="3F38BCD8" w14:textId="77777777" w:rsidR="00DA2761" w:rsidRDefault="00DA2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38457" w14:textId="77777777"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0A8DE90" w14:textId="77777777" w:rsidR="009A0503" w:rsidRDefault="009A0503">
    <w:pPr>
      <w:pStyle w:val="Footer"/>
    </w:pPr>
  </w:p>
  <w:p w14:paraId="296F15CD" w14:textId="77777777" w:rsidR="009A0503" w:rsidRDefault="009A0503"/>
  <w:p w14:paraId="25A42AFF" w14:textId="77777777"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AFCD3" w14:textId="77777777"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7751F5A7" w14:textId="77777777" w:rsidR="009A0503" w:rsidRDefault="009A0503">
    <w:pPr>
      <w:pStyle w:val="Footer"/>
      <w:ind w:right="360"/>
    </w:pPr>
  </w:p>
  <w:p w14:paraId="1E4A010E" w14:textId="77777777" w:rsidR="009A0503" w:rsidRDefault="009A0503"/>
  <w:p w14:paraId="18173374" w14:textId="77777777"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36EA7" w14:textId="77777777" w:rsidR="00DA2761" w:rsidRDefault="00DA2761">
      <w:r>
        <w:separator/>
      </w:r>
    </w:p>
  </w:footnote>
  <w:footnote w:type="continuationSeparator" w:id="0">
    <w:p w14:paraId="5792A46F" w14:textId="77777777" w:rsidR="00DA2761" w:rsidRDefault="00DA27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4"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5"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9B3B9D"/>
    <w:multiLevelType w:val="hybridMultilevel"/>
    <w:tmpl w:val="4DB477C4"/>
    <w:lvl w:ilvl="0" w:tplc="4034614C">
      <w:start w:val="1"/>
      <w:numFmt w:val="bullet"/>
      <w:lvlText w:val=""/>
      <w:lvlJc w:val="left"/>
      <w:pPr>
        <w:tabs>
          <w:tab w:val="num" w:pos="720"/>
        </w:tabs>
        <w:ind w:left="720" w:hanging="360"/>
      </w:pPr>
      <w:rPr>
        <w:rFonts w:ascii="Wingdings" w:hAnsi="Wingdings" w:hint="default"/>
      </w:rPr>
    </w:lvl>
    <w:lvl w:ilvl="1" w:tplc="29946FD8">
      <w:start w:val="302"/>
      <w:numFmt w:val="bullet"/>
      <w:lvlText w:val="o"/>
      <w:lvlJc w:val="left"/>
      <w:pPr>
        <w:tabs>
          <w:tab w:val="num" w:pos="1440"/>
        </w:tabs>
        <w:ind w:left="1440" w:hanging="360"/>
      </w:pPr>
      <w:rPr>
        <w:rFonts w:ascii="Courier New" w:hAnsi="Courier New" w:hint="default"/>
      </w:rPr>
    </w:lvl>
    <w:lvl w:ilvl="2" w:tplc="0C4C0C6C" w:tentative="1">
      <w:start w:val="1"/>
      <w:numFmt w:val="bullet"/>
      <w:lvlText w:val=""/>
      <w:lvlJc w:val="left"/>
      <w:pPr>
        <w:tabs>
          <w:tab w:val="num" w:pos="2160"/>
        </w:tabs>
        <w:ind w:left="2160" w:hanging="360"/>
      </w:pPr>
      <w:rPr>
        <w:rFonts w:ascii="Wingdings" w:hAnsi="Wingdings" w:hint="default"/>
      </w:rPr>
    </w:lvl>
    <w:lvl w:ilvl="3" w:tplc="DA1ADA7E" w:tentative="1">
      <w:start w:val="1"/>
      <w:numFmt w:val="bullet"/>
      <w:lvlText w:val=""/>
      <w:lvlJc w:val="left"/>
      <w:pPr>
        <w:tabs>
          <w:tab w:val="num" w:pos="2880"/>
        </w:tabs>
        <w:ind w:left="2880" w:hanging="360"/>
      </w:pPr>
      <w:rPr>
        <w:rFonts w:ascii="Wingdings" w:hAnsi="Wingdings" w:hint="default"/>
      </w:rPr>
    </w:lvl>
    <w:lvl w:ilvl="4" w:tplc="8FD6A300" w:tentative="1">
      <w:start w:val="1"/>
      <w:numFmt w:val="bullet"/>
      <w:lvlText w:val=""/>
      <w:lvlJc w:val="left"/>
      <w:pPr>
        <w:tabs>
          <w:tab w:val="num" w:pos="3600"/>
        </w:tabs>
        <w:ind w:left="3600" w:hanging="360"/>
      </w:pPr>
      <w:rPr>
        <w:rFonts w:ascii="Wingdings" w:hAnsi="Wingdings" w:hint="default"/>
      </w:rPr>
    </w:lvl>
    <w:lvl w:ilvl="5" w:tplc="DECA74C8" w:tentative="1">
      <w:start w:val="1"/>
      <w:numFmt w:val="bullet"/>
      <w:lvlText w:val=""/>
      <w:lvlJc w:val="left"/>
      <w:pPr>
        <w:tabs>
          <w:tab w:val="num" w:pos="4320"/>
        </w:tabs>
        <w:ind w:left="4320" w:hanging="360"/>
      </w:pPr>
      <w:rPr>
        <w:rFonts w:ascii="Wingdings" w:hAnsi="Wingdings" w:hint="default"/>
      </w:rPr>
    </w:lvl>
    <w:lvl w:ilvl="6" w:tplc="86F00B68" w:tentative="1">
      <w:start w:val="1"/>
      <w:numFmt w:val="bullet"/>
      <w:lvlText w:val=""/>
      <w:lvlJc w:val="left"/>
      <w:pPr>
        <w:tabs>
          <w:tab w:val="num" w:pos="5040"/>
        </w:tabs>
        <w:ind w:left="5040" w:hanging="360"/>
      </w:pPr>
      <w:rPr>
        <w:rFonts w:ascii="Wingdings" w:hAnsi="Wingdings" w:hint="default"/>
      </w:rPr>
    </w:lvl>
    <w:lvl w:ilvl="7" w:tplc="0CAED388" w:tentative="1">
      <w:start w:val="1"/>
      <w:numFmt w:val="bullet"/>
      <w:lvlText w:val=""/>
      <w:lvlJc w:val="left"/>
      <w:pPr>
        <w:tabs>
          <w:tab w:val="num" w:pos="5760"/>
        </w:tabs>
        <w:ind w:left="5760" w:hanging="360"/>
      </w:pPr>
      <w:rPr>
        <w:rFonts w:ascii="Wingdings" w:hAnsi="Wingdings" w:hint="default"/>
      </w:rPr>
    </w:lvl>
    <w:lvl w:ilvl="8" w:tplc="9DAC5AA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1" w15:restartNumberingAfterBreak="0">
    <w:nsid w:val="32D60B6B"/>
    <w:multiLevelType w:val="hybridMultilevel"/>
    <w:tmpl w:val="48FECB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5" w15:restartNumberingAfterBreak="0">
    <w:nsid w:val="39A93545"/>
    <w:multiLevelType w:val="hybridMultilevel"/>
    <w:tmpl w:val="07F234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4A7EBC"/>
    <w:multiLevelType w:val="hybridMultilevel"/>
    <w:tmpl w:val="8AE2667A"/>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4BE37B33"/>
    <w:multiLevelType w:val="hybridMultilevel"/>
    <w:tmpl w:val="686433BE"/>
    <w:lvl w:ilvl="0" w:tplc="5D40D61A">
      <w:start w:val="1"/>
      <w:numFmt w:val="bullet"/>
      <w:lvlText w:val=""/>
      <w:lvlJc w:val="left"/>
      <w:pPr>
        <w:tabs>
          <w:tab w:val="num" w:pos="720"/>
        </w:tabs>
        <w:ind w:left="720" w:hanging="360"/>
      </w:pPr>
      <w:rPr>
        <w:rFonts w:ascii="Wingdings" w:hAnsi="Wingdings" w:hint="default"/>
      </w:rPr>
    </w:lvl>
    <w:lvl w:ilvl="1" w:tplc="27BCB262" w:tentative="1">
      <w:start w:val="1"/>
      <w:numFmt w:val="bullet"/>
      <w:lvlText w:val=""/>
      <w:lvlJc w:val="left"/>
      <w:pPr>
        <w:tabs>
          <w:tab w:val="num" w:pos="1440"/>
        </w:tabs>
        <w:ind w:left="1440" w:hanging="360"/>
      </w:pPr>
      <w:rPr>
        <w:rFonts w:ascii="Wingdings" w:hAnsi="Wingdings" w:hint="default"/>
      </w:rPr>
    </w:lvl>
    <w:lvl w:ilvl="2" w:tplc="FAB0F584" w:tentative="1">
      <w:start w:val="1"/>
      <w:numFmt w:val="bullet"/>
      <w:lvlText w:val=""/>
      <w:lvlJc w:val="left"/>
      <w:pPr>
        <w:tabs>
          <w:tab w:val="num" w:pos="2160"/>
        </w:tabs>
        <w:ind w:left="2160" w:hanging="360"/>
      </w:pPr>
      <w:rPr>
        <w:rFonts w:ascii="Wingdings" w:hAnsi="Wingdings" w:hint="default"/>
      </w:rPr>
    </w:lvl>
    <w:lvl w:ilvl="3" w:tplc="874011E6" w:tentative="1">
      <w:start w:val="1"/>
      <w:numFmt w:val="bullet"/>
      <w:lvlText w:val=""/>
      <w:lvlJc w:val="left"/>
      <w:pPr>
        <w:tabs>
          <w:tab w:val="num" w:pos="2880"/>
        </w:tabs>
        <w:ind w:left="2880" w:hanging="360"/>
      </w:pPr>
      <w:rPr>
        <w:rFonts w:ascii="Wingdings" w:hAnsi="Wingdings" w:hint="default"/>
      </w:rPr>
    </w:lvl>
    <w:lvl w:ilvl="4" w:tplc="176E4B86" w:tentative="1">
      <w:start w:val="1"/>
      <w:numFmt w:val="bullet"/>
      <w:lvlText w:val=""/>
      <w:lvlJc w:val="left"/>
      <w:pPr>
        <w:tabs>
          <w:tab w:val="num" w:pos="3600"/>
        </w:tabs>
        <w:ind w:left="3600" w:hanging="360"/>
      </w:pPr>
      <w:rPr>
        <w:rFonts w:ascii="Wingdings" w:hAnsi="Wingdings" w:hint="default"/>
      </w:rPr>
    </w:lvl>
    <w:lvl w:ilvl="5" w:tplc="B5227390" w:tentative="1">
      <w:start w:val="1"/>
      <w:numFmt w:val="bullet"/>
      <w:lvlText w:val=""/>
      <w:lvlJc w:val="left"/>
      <w:pPr>
        <w:tabs>
          <w:tab w:val="num" w:pos="4320"/>
        </w:tabs>
        <w:ind w:left="4320" w:hanging="360"/>
      </w:pPr>
      <w:rPr>
        <w:rFonts w:ascii="Wingdings" w:hAnsi="Wingdings" w:hint="default"/>
      </w:rPr>
    </w:lvl>
    <w:lvl w:ilvl="6" w:tplc="FFB46A38" w:tentative="1">
      <w:start w:val="1"/>
      <w:numFmt w:val="bullet"/>
      <w:lvlText w:val=""/>
      <w:lvlJc w:val="left"/>
      <w:pPr>
        <w:tabs>
          <w:tab w:val="num" w:pos="5040"/>
        </w:tabs>
        <w:ind w:left="5040" w:hanging="360"/>
      </w:pPr>
      <w:rPr>
        <w:rFonts w:ascii="Wingdings" w:hAnsi="Wingdings" w:hint="default"/>
      </w:rPr>
    </w:lvl>
    <w:lvl w:ilvl="7" w:tplc="520E3434" w:tentative="1">
      <w:start w:val="1"/>
      <w:numFmt w:val="bullet"/>
      <w:lvlText w:val=""/>
      <w:lvlJc w:val="left"/>
      <w:pPr>
        <w:tabs>
          <w:tab w:val="num" w:pos="5760"/>
        </w:tabs>
        <w:ind w:left="5760" w:hanging="360"/>
      </w:pPr>
      <w:rPr>
        <w:rFonts w:ascii="Wingdings" w:hAnsi="Wingdings" w:hint="default"/>
      </w:rPr>
    </w:lvl>
    <w:lvl w:ilvl="8" w:tplc="F6442CF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8A3C88"/>
    <w:multiLevelType w:val="hybridMultilevel"/>
    <w:tmpl w:val="16B69776"/>
    <w:lvl w:ilvl="0" w:tplc="67766F1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8462CE"/>
    <w:multiLevelType w:val="hybridMultilevel"/>
    <w:tmpl w:val="9D1E328C"/>
    <w:lvl w:ilvl="0" w:tplc="0492A92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BF329B9"/>
    <w:multiLevelType w:val="hybridMultilevel"/>
    <w:tmpl w:val="91945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2334CD3"/>
    <w:multiLevelType w:val="hybridMultilevel"/>
    <w:tmpl w:val="13F4EF5E"/>
    <w:lvl w:ilvl="0" w:tplc="9B50C252">
      <w:start w:val="1"/>
      <w:numFmt w:val="bullet"/>
      <w:lvlText w:val="o"/>
      <w:lvlJc w:val="left"/>
      <w:pPr>
        <w:tabs>
          <w:tab w:val="num" w:pos="720"/>
        </w:tabs>
        <w:ind w:left="720" w:hanging="360"/>
      </w:pPr>
      <w:rPr>
        <w:rFonts w:ascii="Courier New" w:hAnsi="Courier New" w:hint="default"/>
      </w:rPr>
    </w:lvl>
    <w:lvl w:ilvl="1" w:tplc="3C329344">
      <w:start w:val="1"/>
      <w:numFmt w:val="bullet"/>
      <w:lvlText w:val="o"/>
      <w:lvlJc w:val="left"/>
      <w:pPr>
        <w:tabs>
          <w:tab w:val="num" w:pos="1440"/>
        </w:tabs>
        <w:ind w:left="1440" w:hanging="360"/>
      </w:pPr>
      <w:rPr>
        <w:rFonts w:ascii="Courier New" w:hAnsi="Courier New" w:hint="default"/>
      </w:rPr>
    </w:lvl>
    <w:lvl w:ilvl="2" w:tplc="30A0C80E" w:tentative="1">
      <w:start w:val="1"/>
      <w:numFmt w:val="bullet"/>
      <w:lvlText w:val="o"/>
      <w:lvlJc w:val="left"/>
      <w:pPr>
        <w:tabs>
          <w:tab w:val="num" w:pos="2160"/>
        </w:tabs>
        <w:ind w:left="2160" w:hanging="360"/>
      </w:pPr>
      <w:rPr>
        <w:rFonts w:ascii="Courier New" w:hAnsi="Courier New" w:hint="default"/>
      </w:rPr>
    </w:lvl>
    <w:lvl w:ilvl="3" w:tplc="4226F91A" w:tentative="1">
      <w:start w:val="1"/>
      <w:numFmt w:val="bullet"/>
      <w:lvlText w:val="o"/>
      <w:lvlJc w:val="left"/>
      <w:pPr>
        <w:tabs>
          <w:tab w:val="num" w:pos="2880"/>
        </w:tabs>
        <w:ind w:left="2880" w:hanging="360"/>
      </w:pPr>
      <w:rPr>
        <w:rFonts w:ascii="Courier New" w:hAnsi="Courier New" w:hint="default"/>
      </w:rPr>
    </w:lvl>
    <w:lvl w:ilvl="4" w:tplc="F3940378" w:tentative="1">
      <w:start w:val="1"/>
      <w:numFmt w:val="bullet"/>
      <w:lvlText w:val="o"/>
      <w:lvlJc w:val="left"/>
      <w:pPr>
        <w:tabs>
          <w:tab w:val="num" w:pos="3600"/>
        </w:tabs>
        <w:ind w:left="3600" w:hanging="360"/>
      </w:pPr>
      <w:rPr>
        <w:rFonts w:ascii="Courier New" w:hAnsi="Courier New" w:hint="default"/>
      </w:rPr>
    </w:lvl>
    <w:lvl w:ilvl="5" w:tplc="846213D2" w:tentative="1">
      <w:start w:val="1"/>
      <w:numFmt w:val="bullet"/>
      <w:lvlText w:val="o"/>
      <w:lvlJc w:val="left"/>
      <w:pPr>
        <w:tabs>
          <w:tab w:val="num" w:pos="4320"/>
        </w:tabs>
        <w:ind w:left="4320" w:hanging="360"/>
      </w:pPr>
      <w:rPr>
        <w:rFonts w:ascii="Courier New" w:hAnsi="Courier New" w:hint="default"/>
      </w:rPr>
    </w:lvl>
    <w:lvl w:ilvl="6" w:tplc="A4D4CC94" w:tentative="1">
      <w:start w:val="1"/>
      <w:numFmt w:val="bullet"/>
      <w:lvlText w:val="o"/>
      <w:lvlJc w:val="left"/>
      <w:pPr>
        <w:tabs>
          <w:tab w:val="num" w:pos="5040"/>
        </w:tabs>
        <w:ind w:left="5040" w:hanging="360"/>
      </w:pPr>
      <w:rPr>
        <w:rFonts w:ascii="Courier New" w:hAnsi="Courier New" w:hint="default"/>
      </w:rPr>
    </w:lvl>
    <w:lvl w:ilvl="7" w:tplc="F5E28C54" w:tentative="1">
      <w:start w:val="1"/>
      <w:numFmt w:val="bullet"/>
      <w:lvlText w:val="o"/>
      <w:lvlJc w:val="left"/>
      <w:pPr>
        <w:tabs>
          <w:tab w:val="num" w:pos="5760"/>
        </w:tabs>
        <w:ind w:left="5760" w:hanging="360"/>
      </w:pPr>
      <w:rPr>
        <w:rFonts w:ascii="Courier New" w:hAnsi="Courier New" w:hint="default"/>
      </w:rPr>
    </w:lvl>
    <w:lvl w:ilvl="8" w:tplc="DC3A3130" w:tentative="1">
      <w:start w:val="1"/>
      <w:numFmt w:val="bullet"/>
      <w:lvlText w:val="o"/>
      <w:lvlJc w:val="left"/>
      <w:pPr>
        <w:tabs>
          <w:tab w:val="num" w:pos="6480"/>
        </w:tabs>
        <w:ind w:left="6480" w:hanging="360"/>
      </w:pPr>
      <w:rPr>
        <w:rFonts w:ascii="Courier New" w:hAnsi="Courier New" w:hint="default"/>
      </w:rPr>
    </w:lvl>
  </w:abstractNum>
  <w:abstractNum w:abstractNumId="32"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918FF"/>
    <w:multiLevelType w:val="hybridMultilevel"/>
    <w:tmpl w:val="6E12073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34"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cs="Times New Roman" w:hint="default"/>
      </w:rPr>
    </w:lvl>
    <w:lvl w:ilvl="1" w:tplc="6C6CE092">
      <w:start w:val="1"/>
      <w:numFmt w:val="bullet"/>
      <w:lvlText w:val="•"/>
      <w:lvlJc w:val="left"/>
      <w:pPr>
        <w:tabs>
          <w:tab w:val="num" w:pos="1080"/>
        </w:tabs>
        <w:ind w:left="1080" w:hanging="360"/>
      </w:pPr>
      <w:rPr>
        <w:rFonts w:ascii="Arial" w:hAnsi="Arial" w:cs="Times New Roman" w:hint="default"/>
      </w:rPr>
    </w:lvl>
    <w:lvl w:ilvl="2" w:tplc="C5E695BA">
      <w:start w:val="1"/>
      <w:numFmt w:val="bullet"/>
      <w:lvlText w:val="•"/>
      <w:lvlJc w:val="left"/>
      <w:pPr>
        <w:tabs>
          <w:tab w:val="num" w:pos="1800"/>
        </w:tabs>
        <w:ind w:left="1800" w:hanging="360"/>
      </w:pPr>
      <w:rPr>
        <w:rFonts w:ascii="Arial" w:hAnsi="Arial" w:cs="Times New Roman" w:hint="default"/>
      </w:rPr>
    </w:lvl>
    <w:lvl w:ilvl="3" w:tplc="84FE6AF2">
      <w:start w:val="124"/>
      <w:numFmt w:val="bullet"/>
      <w:lvlText w:val="•"/>
      <w:lvlJc w:val="left"/>
      <w:pPr>
        <w:tabs>
          <w:tab w:val="num" w:pos="2520"/>
        </w:tabs>
        <w:ind w:left="2520" w:hanging="360"/>
      </w:pPr>
      <w:rPr>
        <w:rFonts w:ascii="Arial" w:hAnsi="Arial" w:cs="Times New Roman" w:hint="default"/>
      </w:rPr>
    </w:lvl>
    <w:lvl w:ilvl="4" w:tplc="4BF6A322">
      <w:start w:val="124"/>
      <w:numFmt w:val="bullet"/>
      <w:lvlText w:val="•"/>
      <w:lvlJc w:val="left"/>
      <w:pPr>
        <w:tabs>
          <w:tab w:val="num" w:pos="3240"/>
        </w:tabs>
        <w:ind w:left="3240" w:hanging="360"/>
      </w:pPr>
      <w:rPr>
        <w:rFonts w:ascii="Arial" w:hAnsi="Arial" w:cs="Times New Roman" w:hint="default"/>
      </w:rPr>
    </w:lvl>
    <w:lvl w:ilvl="5" w:tplc="D702076E">
      <w:start w:val="1"/>
      <w:numFmt w:val="bullet"/>
      <w:lvlText w:val="•"/>
      <w:lvlJc w:val="left"/>
      <w:pPr>
        <w:tabs>
          <w:tab w:val="num" w:pos="3960"/>
        </w:tabs>
        <w:ind w:left="3960" w:hanging="360"/>
      </w:pPr>
      <w:rPr>
        <w:rFonts w:ascii="Arial" w:hAnsi="Arial" w:cs="Times New Roman" w:hint="default"/>
      </w:rPr>
    </w:lvl>
    <w:lvl w:ilvl="6" w:tplc="728AB834">
      <w:start w:val="1"/>
      <w:numFmt w:val="bullet"/>
      <w:lvlText w:val="•"/>
      <w:lvlJc w:val="left"/>
      <w:pPr>
        <w:tabs>
          <w:tab w:val="num" w:pos="4680"/>
        </w:tabs>
        <w:ind w:left="4680" w:hanging="360"/>
      </w:pPr>
      <w:rPr>
        <w:rFonts w:ascii="Arial" w:hAnsi="Arial" w:cs="Times New Roman" w:hint="default"/>
      </w:rPr>
    </w:lvl>
    <w:lvl w:ilvl="7" w:tplc="4F3647E8">
      <w:start w:val="1"/>
      <w:numFmt w:val="bullet"/>
      <w:lvlText w:val="•"/>
      <w:lvlJc w:val="left"/>
      <w:pPr>
        <w:tabs>
          <w:tab w:val="num" w:pos="5400"/>
        </w:tabs>
        <w:ind w:left="5400" w:hanging="360"/>
      </w:pPr>
      <w:rPr>
        <w:rFonts w:ascii="Arial" w:hAnsi="Arial" w:cs="Times New Roman" w:hint="default"/>
      </w:rPr>
    </w:lvl>
    <w:lvl w:ilvl="8" w:tplc="FEF0CD54">
      <w:start w:val="1"/>
      <w:numFmt w:val="bullet"/>
      <w:lvlText w:val="•"/>
      <w:lvlJc w:val="left"/>
      <w:pPr>
        <w:tabs>
          <w:tab w:val="num" w:pos="6120"/>
        </w:tabs>
        <w:ind w:left="6120" w:hanging="360"/>
      </w:pPr>
      <w:rPr>
        <w:rFonts w:ascii="Arial" w:hAnsi="Arial" w:cs="Times New Roman" w:hint="default"/>
      </w:rPr>
    </w:lvl>
  </w:abstractNum>
  <w:abstractNum w:abstractNumId="35"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36"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18"/>
  </w:num>
  <w:num w:numId="2">
    <w:abstractNumId w:val="30"/>
  </w:num>
  <w:num w:numId="3">
    <w:abstractNumId w:val="35"/>
  </w:num>
  <w:num w:numId="4">
    <w:abstractNumId w:val="10"/>
  </w:num>
  <w:num w:numId="5">
    <w:abstractNumId w:val="14"/>
  </w:num>
  <w:num w:numId="6">
    <w:abstractNumId w:val="4"/>
  </w:num>
  <w:num w:numId="7">
    <w:abstractNumId w:val="8"/>
  </w:num>
  <w:num w:numId="8">
    <w:abstractNumId w:val="29"/>
  </w:num>
  <w:num w:numId="9">
    <w:abstractNumId w:val="23"/>
  </w:num>
  <w:num w:numId="10">
    <w:abstractNumId w:val="22"/>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1"/>
  </w:num>
  <w:num w:numId="13">
    <w:abstractNumId w:val="1"/>
  </w:num>
  <w:num w:numId="14">
    <w:abstractNumId w:val="25"/>
  </w:num>
  <w:num w:numId="15">
    <w:abstractNumId w:val="5"/>
  </w:num>
  <w:num w:numId="16">
    <w:abstractNumId w:val="2"/>
  </w:num>
  <w:num w:numId="17">
    <w:abstractNumId w:val="19"/>
  </w:num>
  <w:num w:numId="18">
    <w:abstractNumId w:val="16"/>
  </w:num>
  <w:num w:numId="19">
    <w:abstractNumId w:val="3"/>
  </w:num>
  <w:num w:numId="20">
    <w:abstractNumId w:val="12"/>
  </w:num>
  <w:num w:numId="21">
    <w:abstractNumId w:val="13"/>
  </w:num>
  <w:num w:numId="22">
    <w:abstractNumId w:val="9"/>
  </w:num>
  <w:num w:numId="23">
    <w:abstractNumId w:val="36"/>
  </w:num>
  <w:num w:numId="24">
    <w:abstractNumId w:val="34"/>
  </w:num>
  <w:num w:numId="25">
    <w:abstractNumId w:val="28"/>
  </w:num>
  <w:num w:numId="26">
    <w:abstractNumId w:val="6"/>
  </w:num>
  <w:num w:numId="27">
    <w:abstractNumId w:val="32"/>
  </w:num>
  <w:num w:numId="28">
    <w:abstractNumId w:val="31"/>
  </w:num>
  <w:num w:numId="29">
    <w:abstractNumId w:val="17"/>
  </w:num>
  <w:num w:numId="30">
    <w:abstractNumId w:val="15"/>
  </w:num>
  <w:num w:numId="31">
    <w:abstractNumId w:val="26"/>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33"/>
  </w:num>
  <w:num w:numId="34">
    <w:abstractNumId w:val="7"/>
  </w:num>
  <w:num w:numId="35">
    <w:abstractNumId w:val="20"/>
  </w:num>
  <w:num w:numId="36">
    <w:abstractNumId w:val="11"/>
  </w:num>
  <w:num w:numId="37">
    <w:abstractNumId w:val="27"/>
  </w:num>
  <w:num w:numId="38">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15"/>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2F5"/>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1F6"/>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D1C"/>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A3C"/>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1BBE"/>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4FFA"/>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C77"/>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68D"/>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86D"/>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8E8"/>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39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73A"/>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15A"/>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2F80"/>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1A8"/>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761"/>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9A4"/>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976"/>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5E98"/>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539F9"/>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57D3595A-3DAE-4577-9FC4-BFCFAB220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1555</Words>
  <Characters>8870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 Callender</cp:lastModifiedBy>
  <cp:revision>3</cp:revision>
  <cp:lastPrinted>2009-04-22T13:01:00Z</cp:lastPrinted>
  <dcterms:created xsi:type="dcterms:W3CDTF">2019-05-03T10:57:00Z</dcterms:created>
  <dcterms:modified xsi:type="dcterms:W3CDTF">2019-05-03T15:19:00Z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1498716840</vt:lpwstr>
  </property>
  <property fmtid="{D5CDD505-2E9C-101B-9397-08002B2CF9AE}" pid="32" name="_ReviewingToolsShownOnce">
    <vt:lpwstr/>
  </property>
</Properties>
</file>